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ind w:left="120"/>
        <w:spacing w:after="0"/>
        <w:rPr>
          <w:sz w:val="20"/>
          <w:szCs w:val="20"/>
          <w:color w:val="auto"/>
        </w:rPr>
      </w:pPr>
      <w:r>
        <w:rPr>
          <w:rFonts w:ascii="宋体" w:cs="宋体" w:eastAsia="宋体" w:hAnsi="宋体"/>
          <w:sz w:val="35"/>
          <w:szCs w:val="35"/>
          <w:color w:val="auto"/>
        </w:rPr>
        <mc:AlternateContent>
          <mc:Choice Requires="wps">
            <w:drawing>
              <wp:anchor simplePos="0" relativeHeight="251657728" behindDoc="1" locked="0" layoutInCell="0" allowOverlap="1">
                <wp:simplePos x="0" y="0"/>
                <wp:positionH relativeFrom="page">
                  <wp:posOffset>1124585</wp:posOffset>
                </wp:positionH>
                <wp:positionV relativeFrom="page">
                  <wp:posOffset>687070</wp:posOffset>
                </wp:positionV>
                <wp:extent cx="5311140" cy="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311140" cy="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88.55pt,54.1pt" to="506.75pt,54.1pt" o:allowincell="f" strokecolor="#000000" strokeweight="0.7199pt">
                <w10:wrap anchorx="page" anchory="page"/>
              </v:line>
            </w:pict>
          </mc:Fallback>
        </mc:AlternateContent>
        <w:t xml:space="preserve">西钢集团灯塔矿业有限公司小汪沟铁矿由 </w:t>
      </w:r>
      <w:r>
        <w:rPr>
          <w:rFonts w:ascii="Times New Roman" w:cs="Times New Roman" w:eastAsia="Times New Roman" w:hAnsi="Times New Roman"/>
          <w:sz w:val="35"/>
          <w:szCs w:val="35"/>
          <w:b w:val="1"/>
          <w:bCs w:val="1"/>
          <w:color w:val="auto"/>
        </w:rPr>
        <w:t>115</w:t>
      </w:r>
      <w:r>
        <w:rPr>
          <w:rFonts w:ascii="宋体" w:cs="宋体" w:eastAsia="宋体" w:hAnsi="宋体"/>
          <w:sz w:val="35"/>
          <w:szCs w:val="35"/>
          <w:color w:val="auto"/>
        </w:rPr>
        <w:t xml:space="preserve"> 万 </w:t>
      </w:r>
      <w:r>
        <w:rPr>
          <w:rFonts w:ascii="Times New Roman" w:cs="Times New Roman" w:eastAsia="Times New Roman" w:hAnsi="Times New Roman"/>
          <w:sz w:val="35"/>
          <w:szCs w:val="35"/>
          <w:b w:val="1"/>
          <w:bCs w:val="1"/>
          <w:color w:val="auto"/>
        </w:rPr>
        <w:t>t/a</w:t>
      </w:r>
    </w:p>
    <w:p>
      <w:pPr>
        <w:spacing w:after="0" w:line="275" w:lineRule="exact"/>
        <w:rPr>
          <w:sz w:val="24"/>
          <w:szCs w:val="24"/>
          <w:color w:val="auto"/>
        </w:rPr>
      </w:pPr>
    </w:p>
    <w:p>
      <w:pPr>
        <w:ind w:left="240"/>
        <w:spacing w:after="0"/>
        <w:rPr>
          <w:sz w:val="20"/>
          <w:szCs w:val="20"/>
          <w:color w:val="auto"/>
        </w:rPr>
      </w:pPr>
      <w:r>
        <w:rPr>
          <w:rFonts w:ascii="宋体" w:cs="宋体" w:eastAsia="宋体" w:hAnsi="宋体"/>
          <w:sz w:val="35"/>
          <w:szCs w:val="35"/>
          <w:color w:val="auto"/>
        </w:rPr>
        <w:t xml:space="preserve">增能至 </w:t>
      </w:r>
      <w:r>
        <w:rPr>
          <w:rFonts w:ascii="Times New Roman" w:cs="Times New Roman" w:eastAsia="Times New Roman" w:hAnsi="Times New Roman"/>
          <w:sz w:val="35"/>
          <w:szCs w:val="35"/>
          <w:b w:val="1"/>
          <w:bCs w:val="1"/>
          <w:color w:val="auto"/>
        </w:rPr>
        <w:t>270</w:t>
      </w:r>
      <w:r>
        <w:rPr>
          <w:rFonts w:ascii="宋体" w:cs="宋体" w:eastAsia="宋体" w:hAnsi="宋体"/>
          <w:sz w:val="35"/>
          <w:szCs w:val="35"/>
          <w:color w:val="auto"/>
        </w:rPr>
        <w:t xml:space="preserve"> 万 </w:t>
      </w:r>
      <w:r>
        <w:rPr>
          <w:rFonts w:ascii="Times New Roman" w:cs="Times New Roman" w:eastAsia="Times New Roman" w:hAnsi="Times New Roman"/>
          <w:sz w:val="35"/>
          <w:szCs w:val="35"/>
          <w:b w:val="1"/>
          <w:bCs w:val="1"/>
          <w:color w:val="auto"/>
        </w:rPr>
        <w:t>t/a</w:t>
      </w:r>
      <w:r>
        <w:rPr>
          <w:rFonts w:ascii="宋体" w:cs="宋体" w:eastAsia="宋体" w:hAnsi="宋体"/>
          <w:sz w:val="35"/>
          <w:szCs w:val="35"/>
          <w:color w:val="auto"/>
        </w:rPr>
        <w:t xml:space="preserve"> 技术改造工程竣工环保验收调查</w:t>
      </w:r>
    </w:p>
    <w:p>
      <w:pPr>
        <w:spacing w:after="0" w:line="295" w:lineRule="exact"/>
        <w:rPr>
          <w:sz w:val="24"/>
          <w:szCs w:val="24"/>
          <w:color w:val="auto"/>
        </w:rPr>
      </w:pPr>
    </w:p>
    <w:p>
      <w:pPr>
        <w:ind w:left="2520"/>
        <w:spacing w:after="0"/>
        <w:rPr>
          <w:sz w:val="20"/>
          <w:szCs w:val="20"/>
          <w:color w:val="auto"/>
        </w:rPr>
      </w:pPr>
      <w:r>
        <w:rPr>
          <w:rFonts w:ascii="宋体" w:cs="宋体" w:eastAsia="宋体" w:hAnsi="宋体"/>
          <w:sz w:val="36"/>
          <w:szCs w:val="36"/>
          <w:color w:val="auto"/>
        </w:rPr>
        <w:t>其他需要说明的事项</w:t>
      </w:r>
    </w:p>
    <w:p>
      <w:pPr>
        <w:spacing w:after="0" w:line="200" w:lineRule="exact"/>
        <w:rPr>
          <w:sz w:val="24"/>
          <w:szCs w:val="24"/>
          <w:color w:val="auto"/>
        </w:rPr>
      </w:pPr>
    </w:p>
    <w:p>
      <w:pPr>
        <w:spacing w:after="0" w:line="224" w:lineRule="exact"/>
        <w:rPr>
          <w:sz w:val="24"/>
          <w:szCs w:val="24"/>
          <w:color w:val="auto"/>
        </w:rPr>
      </w:pPr>
    </w:p>
    <w:p>
      <w:pPr>
        <w:spacing w:after="0"/>
        <w:rPr>
          <w:sz w:val="20"/>
          <w:szCs w:val="20"/>
          <w:color w:val="auto"/>
        </w:rPr>
      </w:pPr>
      <w:r>
        <w:rPr>
          <w:rFonts w:ascii="Times New Roman" w:cs="Times New Roman" w:eastAsia="Times New Roman" w:hAnsi="Times New Roman"/>
          <w:sz w:val="32"/>
          <w:szCs w:val="32"/>
          <w:b w:val="1"/>
          <w:bCs w:val="1"/>
          <w:color w:val="auto"/>
        </w:rPr>
        <w:t xml:space="preserve">1 </w:t>
      </w:r>
      <w:r>
        <w:rPr>
          <w:rFonts w:ascii="宋体" w:cs="宋体" w:eastAsia="宋体" w:hAnsi="宋体"/>
          <w:sz w:val="32"/>
          <w:szCs w:val="32"/>
          <w:color w:val="auto"/>
        </w:rPr>
        <w:t>环境保护设施设计、施工和验收过程</w:t>
      </w:r>
    </w:p>
    <w:p>
      <w:pPr>
        <w:spacing w:after="0" w:line="392" w:lineRule="exact"/>
        <w:rPr>
          <w:sz w:val="24"/>
          <w:szCs w:val="24"/>
          <w:color w:val="auto"/>
        </w:rPr>
      </w:pPr>
    </w:p>
    <w:p>
      <w:pPr>
        <w:spacing w:after="0"/>
        <w:rPr>
          <w:sz w:val="20"/>
          <w:szCs w:val="20"/>
          <w:color w:val="auto"/>
        </w:rPr>
      </w:pPr>
      <w:r>
        <w:rPr>
          <w:rFonts w:ascii="Times New Roman" w:cs="Times New Roman" w:eastAsia="Times New Roman" w:hAnsi="Times New Roman"/>
          <w:sz w:val="30"/>
          <w:szCs w:val="30"/>
          <w:b w:val="1"/>
          <w:bCs w:val="1"/>
          <w:color w:val="auto"/>
        </w:rPr>
        <w:t xml:space="preserve">1.1 </w:t>
      </w:r>
      <w:r>
        <w:rPr>
          <w:rFonts w:ascii="宋体" w:cs="宋体" w:eastAsia="宋体" w:hAnsi="宋体"/>
          <w:sz w:val="30"/>
          <w:szCs w:val="30"/>
          <w:color w:val="auto"/>
        </w:rPr>
        <w:t>设计简况</w:t>
      </w:r>
    </w:p>
    <w:p>
      <w:pPr>
        <w:spacing w:after="0" w:line="381" w:lineRule="exact"/>
        <w:rPr>
          <w:sz w:val="24"/>
          <w:szCs w:val="24"/>
          <w:color w:val="auto"/>
        </w:rPr>
      </w:pPr>
    </w:p>
    <w:p>
      <w:pPr>
        <w:ind w:left="480"/>
        <w:spacing w:after="0"/>
        <w:rPr>
          <w:sz w:val="20"/>
          <w:szCs w:val="20"/>
          <w:color w:val="auto"/>
        </w:rPr>
      </w:pPr>
      <w:r>
        <w:rPr>
          <w:rFonts w:ascii="宋体" w:cs="宋体" w:eastAsia="宋体" w:hAnsi="宋体"/>
          <w:sz w:val="22"/>
          <w:szCs w:val="22"/>
          <w:color w:val="auto"/>
        </w:rPr>
        <w:t xml:space="preserve">西钢集团灯塔矿业有限公司小汪沟铁矿由 </w:t>
      </w:r>
      <w:r>
        <w:rPr>
          <w:rFonts w:ascii="Times New Roman" w:cs="Times New Roman" w:eastAsia="Times New Roman" w:hAnsi="Times New Roman"/>
          <w:sz w:val="22"/>
          <w:szCs w:val="22"/>
          <w:color w:val="auto"/>
        </w:rPr>
        <w:t>115</w:t>
      </w:r>
      <w:r>
        <w:rPr>
          <w:rFonts w:ascii="宋体" w:cs="宋体" w:eastAsia="宋体" w:hAnsi="宋体"/>
          <w:sz w:val="22"/>
          <w:szCs w:val="22"/>
          <w:color w:val="auto"/>
        </w:rPr>
        <w:t xml:space="preserve"> 万 </w:t>
      </w:r>
      <w:r>
        <w:rPr>
          <w:rFonts w:ascii="Times New Roman" w:cs="Times New Roman" w:eastAsia="Times New Roman" w:hAnsi="Times New Roman"/>
          <w:sz w:val="22"/>
          <w:szCs w:val="22"/>
          <w:color w:val="auto"/>
        </w:rPr>
        <w:t>t/a</w:t>
      </w:r>
      <w:r>
        <w:rPr>
          <w:rFonts w:ascii="宋体" w:cs="宋体" w:eastAsia="宋体" w:hAnsi="宋体"/>
          <w:sz w:val="22"/>
          <w:szCs w:val="22"/>
          <w:color w:val="auto"/>
        </w:rPr>
        <w:t xml:space="preserve"> 增能至 </w:t>
      </w:r>
      <w:r>
        <w:rPr>
          <w:rFonts w:ascii="Times New Roman" w:cs="Times New Roman" w:eastAsia="Times New Roman" w:hAnsi="Times New Roman"/>
          <w:sz w:val="22"/>
          <w:szCs w:val="22"/>
          <w:color w:val="auto"/>
        </w:rPr>
        <w:t>270</w:t>
      </w:r>
      <w:r>
        <w:rPr>
          <w:rFonts w:ascii="宋体" w:cs="宋体" w:eastAsia="宋体" w:hAnsi="宋体"/>
          <w:sz w:val="22"/>
          <w:szCs w:val="22"/>
          <w:color w:val="auto"/>
        </w:rPr>
        <w:t xml:space="preserve"> 万 </w:t>
      </w:r>
      <w:r>
        <w:rPr>
          <w:rFonts w:ascii="Times New Roman" w:cs="Times New Roman" w:eastAsia="Times New Roman" w:hAnsi="Times New Roman"/>
          <w:sz w:val="22"/>
          <w:szCs w:val="22"/>
          <w:color w:val="auto"/>
        </w:rPr>
        <w:t>t/a</w:t>
      </w:r>
      <w:r>
        <w:rPr>
          <w:rFonts w:ascii="宋体" w:cs="宋体" w:eastAsia="宋体" w:hAnsi="宋体"/>
          <w:sz w:val="22"/>
          <w:szCs w:val="22"/>
          <w:color w:val="auto"/>
        </w:rPr>
        <w:t xml:space="preserve"> 技术</w:t>
      </w:r>
    </w:p>
    <w:p>
      <w:pPr>
        <w:spacing w:after="0" w:line="217" w:lineRule="exact"/>
        <w:rPr>
          <w:sz w:val="24"/>
          <w:szCs w:val="24"/>
          <w:color w:val="auto"/>
        </w:rPr>
      </w:pPr>
    </w:p>
    <w:p>
      <w:pPr>
        <w:spacing w:after="0"/>
        <w:rPr>
          <w:sz w:val="20"/>
          <w:szCs w:val="20"/>
          <w:color w:val="auto"/>
        </w:rPr>
      </w:pPr>
      <w:r>
        <w:rPr>
          <w:rFonts w:ascii="宋体" w:cs="宋体" w:eastAsia="宋体" w:hAnsi="宋体"/>
          <w:sz w:val="23"/>
          <w:szCs w:val="23"/>
          <w:color w:val="auto"/>
        </w:rPr>
        <w:t>改造工程将环境保护设施纳入了初步设计，委托黑龙江省冶金设计规化院进行工</w:t>
      </w:r>
    </w:p>
    <w:p>
      <w:pPr>
        <w:spacing w:after="0" w:line="186" w:lineRule="exact"/>
        <w:rPr>
          <w:sz w:val="24"/>
          <w:szCs w:val="24"/>
          <w:color w:val="auto"/>
        </w:rPr>
      </w:pPr>
    </w:p>
    <w:p>
      <w:pPr>
        <w:spacing w:after="0"/>
        <w:rPr>
          <w:sz w:val="20"/>
          <w:szCs w:val="20"/>
          <w:color w:val="auto"/>
        </w:rPr>
      </w:pPr>
      <w:r>
        <w:rPr>
          <w:rFonts w:ascii="宋体" w:cs="宋体" w:eastAsia="宋体" w:hAnsi="宋体"/>
          <w:sz w:val="23"/>
          <w:szCs w:val="23"/>
          <w:color w:val="auto"/>
        </w:rPr>
        <w:t xml:space="preserve">程初步设计，环境保护设施设计符合相关规范要求，设计环保投资 </w:t>
      </w:r>
      <w:r>
        <w:rPr>
          <w:rFonts w:ascii="Times New Roman" w:cs="Times New Roman" w:eastAsia="Times New Roman" w:hAnsi="Times New Roman"/>
          <w:sz w:val="23"/>
          <w:szCs w:val="23"/>
          <w:color w:val="auto"/>
        </w:rPr>
        <w:t>3290</w:t>
      </w:r>
      <w:r>
        <w:rPr>
          <w:rFonts w:ascii="宋体" w:cs="宋体" w:eastAsia="宋体" w:hAnsi="宋体"/>
          <w:sz w:val="23"/>
          <w:szCs w:val="23"/>
          <w:color w:val="auto"/>
        </w:rPr>
        <w:t xml:space="preserve"> 万元。</w:t>
      </w:r>
    </w:p>
    <w:p>
      <w:pPr>
        <w:spacing w:after="0" w:line="337" w:lineRule="exact"/>
        <w:rPr>
          <w:sz w:val="24"/>
          <w:szCs w:val="24"/>
          <w:color w:val="auto"/>
        </w:rPr>
      </w:pPr>
    </w:p>
    <w:p>
      <w:pPr>
        <w:spacing w:after="0"/>
        <w:rPr>
          <w:sz w:val="20"/>
          <w:szCs w:val="20"/>
          <w:color w:val="auto"/>
        </w:rPr>
      </w:pPr>
      <w:r>
        <w:rPr>
          <w:rFonts w:ascii="Times New Roman" w:cs="Times New Roman" w:eastAsia="Times New Roman" w:hAnsi="Times New Roman"/>
          <w:sz w:val="30"/>
          <w:szCs w:val="30"/>
          <w:b w:val="1"/>
          <w:bCs w:val="1"/>
          <w:color w:val="auto"/>
        </w:rPr>
        <w:t xml:space="preserve">1.2 </w:t>
      </w:r>
      <w:r>
        <w:rPr>
          <w:rFonts w:ascii="宋体" w:cs="宋体" w:eastAsia="宋体" w:hAnsi="宋体"/>
          <w:sz w:val="30"/>
          <w:szCs w:val="30"/>
          <w:color w:val="auto"/>
        </w:rPr>
        <w:t>施工简况</w:t>
      </w:r>
    </w:p>
    <w:p>
      <w:pPr>
        <w:spacing w:after="0" w:line="200" w:lineRule="exact"/>
        <w:rPr>
          <w:sz w:val="24"/>
          <w:szCs w:val="24"/>
          <w:color w:val="auto"/>
        </w:rPr>
      </w:pPr>
    </w:p>
    <w:p>
      <w:pPr>
        <w:spacing w:after="0" w:line="225" w:lineRule="exact"/>
        <w:rPr>
          <w:sz w:val="24"/>
          <w:szCs w:val="24"/>
          <w:color w:val="auto"/>
        </w:rPr>
      </w:pPr>
    </w:p>
    <w:p>
      <w:pPr>
        <w:jc w:val="both"/>
        <w:ind w:firstLine="480"/>
        <w:spacing w:after="0" w:line="413" w:lineRule="auto"/>
        <w:rPr>
          <w:sz w:val="20"/>
          <w:szCs w:val="20"/>
          <w:color w:val="auto"/>
        </w:rPr>
      </w:pPr>
      <w:r>
        <w:rPr>
          <w:rFonts w:ascii="宋体" w:cs="宋体" w:eastAsia="宋体" w:hAnsi="宋体"/>
          <w:sz w:val="23"/>
          <w:szCs w:val="23"/>
          <w:color w:val="auto"/>
        </w:rPr>
        <w:t>技改工程环保设施建设以纳入施工合同，委托浙江中矿建设集团有限公司进 行技改工程施工建设，环保设施与技改工程主体同时建设、同时投产使用，按照 环境影响报告书及其审批部门审批决定中提出的对策措施进行建设，实际环保投</w:t>
      </w:r>
    </w:p>
    <w:p>
      <w:pPr>
        <w:spacing w:after="0" w:line="1" w:lineRule="exact"/>
        <w:rPr>
          <w:sz w:val="24"/>
          <w:szCs w:val="24"/>
          <w:color w:val="auto"/>
        </w:rPr>
      </w:pPr>
    </w:p>
    <w:p>
      <w:pPr>
        <w:spacing w:after="0"/>
        <w:rPr>
          <w:sz w:val="20"/>
          <w:szCs w:val="20"/>
          <w:color w:val="auto"/>
        </w:rPr>
      </w:pPr>
      <w:r>
        <w:rPr>
          <w:rFonts w:ascii="宋体" w:cs="宋体" w:eastAsia="宋体" w:hAnsi="宋体"/>
          <w:sz w:val="24"/>
          <w:szCs w:val="24"/>
          <w:color w:val="auto"/>
        </w:rPr>
        <w:t xml:space="preserve">资 </w:t>
      </w:r>
      <w:r>
        <w:rPr>
          <w:rFonts w:ascii="Times New Roman" w:cs="Times New Roman" w:eastAsia="Times New Roman" w:hAnsi="Times New Roman"/>
          <w:sz w:val="24"/>
          <w:szCs w:val="24"/>
          <w:color w:val="auto"/>
        </w:rPr>
        <w:t>3380</w:t>
      </w:r>
      <w:r>
        <w:rPr>
          <w:rFonts w:ascii="宋体" w:cs="宋体" w:eastAsia="宋体" w:hAnsi="宋体"/>
          <w:sz w:val="24"/>
          <w:szCs w:val="24"/>
          <w:color w:val="auto"/>
        </w:rPr>
        <w:t xml:space="preserve"> 万元。</w:t>
      </w:r>
    </w:p>
    <w:p>
      <w:pPr>
        <w:spacing w:after="0" w:line="325" w:lineRule="exact"/>
        <w:rPr>
          <w:sz w:val="24"/>
          <w:szCs w:val="24"/>
          <w:color w:val="auto"/>
        </w:rPr>
      </w:pPr>
    </w:p>
    <w:p>
      <w:pPr>
        <w:spacing w:after="0"/>
        <w:rPr>
          <w:sz w:val="20"/>
          <w:szCs w:val="20"/>
          <w:color w:val="auto"/>
        </w:rPr>
      </w:pPr>
      <w:r>
        <w:rPr>
          <w:rFonts w:ascii="Times New Roman" w:cs="Times New Roman" w:eastAsia="Times New Roman" w:hAnsi="Times New Roman"/>
          <w:sz w:val="30"/>
          <w:szCs w:val="30"/>
          <w:b w:val="1"/>
          <w:bCs w:val="1"/>
          <w:color w:val="auto"/>
        </w:rPr>
        <w:t xml:space="preserve">1.3 </w:t>
      </w:r>
      <w:r>
        <w:rPr>
          <w:rFonts w:ascii="宋体" w:cs="宋体" w:eastAsia="宋体" w:hAnsi="宋体"/>
          <w:sz w:val="30"/>
          <w:szCs w:val="30"/>
          <w:color w:val="auto"/>
        </w:rPr>
        <w:t>验收过程简况</w:t>
      </w:r>
    </w:p>
    <w:p>
      <w:pPr>
        <w:spacing w:after="0" w:line="373" w:lineRule="exact"/>
        <w:rPr>
          <w:sz w:val="24"/>
          <w:szCs w:val="24"/>
          <w:color w:val="auto"/>
        </w:rPr>
      </w:pPr>
    </w:p>
    <w:p>
      <w:pPr>
        <w:ind w:left="480"/>
        <w:spacing w:after="0"/>
        <w:rPr>
          <w:sz w:val="20"/>
          <w:szCs w:val="20"/>
          <w:color w:val="auto"/>
        </w:rPr>
      </w:pPr>
      <w:r>
        <w:rPr>
          <w:rFonts w:ascii="Times New Roman" w:cs="Times New Roman" w:eastAsia="Times New Roman" w:hAnsi="Times New Roman"/>
          <w:sz w:val="23"/>
          <w:szCs w:val="23"/>
          <w:color w:val="auto"/>
        </w:rPr>
        <w:t xml:space="preserve">2018 </w:t>
      </w:r>
      <w:r>
        <w:rPr>
          <w:rFonts w:ascii="宋体" w:cs="宋体" w:eastAsia="宋体" w:hAnsi="宋体"/>
          <w:sz w:val="23"/>
          <w:szCs w:val="23"/>
          <w:color w:val="auto"/>
        </w:rPr>
        <w:t>年</w:t>
      </w:r>
      <w:r>
        <w:rPr>
          <w:rFonts w:ascii="Times New Roman" w:cs="Times New Roman" w:eastAsia="Times New Roman" w:hAnsi="Times New Roman"/>
          <w:sz w:val="23"/>
          <w:szCs w:val="23"/>
          <w:color w:val="auto"/>
        </w:rPr>
        <w:t xml:space="preserve"> 5 </w:t>
      </w:r>
      <w:r>
        <w:rPr>
          <w:rFonts w:ascii="宋体" w:cs="宋体" w:eastAsia="宋体" w:hAnsi="宋体"/>
          <w:sz w:val="23"/>
          <w:szCs w:val="23"/>
          <w:color w:val="auto"/>
        </w:rPr>
        <w:t>月，技改工程主体工程建设完成，采矿能力达到</w:t>
      </w:r>
      <w:r>
        <w:rPr>
          <w:rFonts w:ascii="Times New Roman" w:cs="Times New Roman" w:eastAsia="Times New Roman" w:hAnsi="Times New Roman"/>
          <w:sz w:val="23"/>
          <w:szCs w:val="23"/>
          <w:color w:val="auto"/>
        </w:rPr>
        <w:t xml:space="preserve"> 270×10</w:t>
      </w:r>
      <w:r>
        <w:rPr>
          <w:rFonts w:ascii="Times New Roman" w:cs="Times New Roman" w:eastAsia="Times New Roman" w:hAnsi="Times New Roman"/>
          <w:sz w:val="31"/>
          <w:szCs w:val="31"/>
          <w:color w:val="auto"/>
          <w:vertAlign w:val="superscript"/>
        </w:rPr>
        <w:t>4</w:t>
      </w:r>
      <w:r>
        <w:rPr>
          <w:rFonts w:ascii="Times New Roman" w:cs="Times New Roman" w:eastAsia="Times New Roman" w:hAnsi="Times New Roman"/>
          <w:sz w:val="23"/>
          <w:szCs w:val="23"/>
          <w:color w:val="auto"/>
        </w:rPr>
        <w:t>t/a</w:t>
      </w:r>
      <w:r>
        <w:rPr>
          <w:rFonts w:ascii="宋体" w:cs="宋体" w:eastAsia="宋体" w:hAnsi="宋体"/>
          <w:sz w:val="23"/>
          <w:szCs w:val="23"/>
          <w:color w:val="auto"/>
        </w:rPr>
        <w:t>，具备</w:t>
      </w:r>
    </w:p>
    <w:p>
      <w:pPr>
        <w:spacing w:after="0" w:line="128" w:lineRule="exact"/>
        <w:rPr>
          <w:sz w:val="24"/>
          <w:szCs w:val="24"/>
          <w:color w:val="auto"/>
        </w:rPr>
      </w:pPr>
    </w:p>
    <w:p>
      <w:pPr>
        <w:spacing w:after="0"/>
        <w:rPr>
          <w:sz w:val="20"/>
          <w:szCs w:val="20"/>
          <w:color w:val="auto"/>
        </w:rPr>
      </w:pPr>
      <w:r>
        <w:rPr>
          <w:rFonts w:ascii="宋体" w:cs="宋体" w:eastAsia="宋体" w:hAnsi="宋体"/>
          <w:sz w:val="24"/>
          <w:szCs w:val="24"/>
          <w:color w:val="auto"/>
        </w:rPr>
        <w:t>验收条件。</w:t>
      </w:r>
    </w:p>
    <w:p>
      <w:pPr>
        <w:spacing w:after="0" w:line="184" w:lineRule="exact"/>
        <w:rPr>
          <w:sz w:val="24"/>
          <w:szCs w:val="24"/>
          <w:color w:val="auto"/>
        </w:rPr>
      </w:pPr>
    </w:p>
    <w:p>
      <w:pPr>
        <w:ind w:left="480"/>
        <w:spacing w:after="0"/>
        <w:rPr>
          <w:sz w:val="20"/>
          <w:szCs w:val="20"/>
          <w:color w:val="auto"/>
        </w:rPr>
      </w:pPr>
      <w:r>
        <w:rPr>
          <w:rFonts w:ascii="Times New Roman" w:cs="Times New Roman" w:eastAsia="Times New Roman" w:hAnsi="Times New Roman"/>
          <w:sz w:val="24"/>
          <w:szCs w:val="24"/>
          <w:color w:val="auto"/>
        </w:rPr>
        <w:t xml:space="preserve">2018 </w:t>
      </w:r>
      <w:r>
        <w:rPr>
          <w:rFonts w:ascii="宋体" w:cs="宋体" w:eastAsia="宋体" w:hAnsi="宋体"/>
          <w:sz w:val="24"/>
          <w:szCs w:val="24"/>
          <w:color w:val="auto"/>
        </w:rPr>
        <w:t>年</w:t>
      </w:r>
      <w:r>
        <w:rPr>
          <w:rFonts w:ascii="Times New Roman" w:cs="Times New Roman" w:eastAsia="Times New Roman" w:hAnsi="Times New Roman"/>
          <w:sz w:val="24"/>
          <w:szCs w:val="24"/>
          <w:color w:val="auto"/>
        </w:rPr>
        <w:t xml:space="preserve"> 6 </w:t>
      </w:r>
      <w:r>
        <w:rPr>
          <w:rFonts w:ascii="宋体" w:cs="宋体" w:eastAsia="宋体" w:hAnsi="宋体"/>
          <w:sz w:val="24"/>
          <w:szCs w:val="24"/>
          <w:color w:val="auto"/>
        </w:rPr>
        <w:t>月西钢集团灯塔矿业有限公司委托辽宁诚达悦天环境科技有限公</w:t>
      </w:r>
    </w:p>
    <w:p>
      <w:pPr>
        <w:spacing w:after="0" w:line="195" w:lineRule="exact"/>
        <w:rPr>
          <w:sz w:val="24"/>
          <w:szCs w:val="24"/>
          <w:color w:val="auto"/>
        </w:rPr>
      </w:pPr>
    </w:p>
    <w:p>
      <w:pPr>
        <w:spacing w:after="0"/>
        <w:rPr>
          <w:sz w:val="20"/>
          <w:szCs w:val="20"/>
          <w:color w:val="auto"/>
        </w:rPr>
      </w:pPr>
      <w:r>
        <w:rPr>
          <w:rFonts w:ascii="宋体" w:cs="宋体" w:eastAsia="宋体" w:hAnsi="宋体"/>
          <w:sz w:val="23"/>
          <w:szCs w:val="23"/>
          <w:color w:val="auto"/>
        </w:rPr>
        <w:t>司进行技改工程环境保护设施竣工验收调查，协助完成技改工程竣工环境保护自</w:t>
      </w:r>
    </w:p>
    <w:p>
      <w:pPr>
        <w:spacing w:after="0" w:line="192" w:lineRule="exact"/>
        <w:rPr>
          <w:sz w:val="24"/>
          <w:szCs w:val="24"/>
          <w:color w:val="auto"/>
        </w:rPr>
      </w:pPr>
    </w:p>
    <w:p>
      <w:pPr>
        <w:spacing w:after="0"/>
        <w:rPr>
          <w:sz w:val="20"/>
          <w:szCs w:val="20"/>
          <w:color w:val="auto"/>
        </w:rPr>
      </w:pPr>
      <w:r>
        <w:rPr>
          <w:rFonts w:ascii="宋体" w:cs="宋体" w:eastAsia="宋体" w:hAnsi="宋体"/>
          <w:sz w:val="24"/>
          <w:szCs w:val="24"/>
          <w:color w:val="auto"/>
        </w:rPr>
        <w:t>主验收。</w:t>
      </w:r>
    </w:p>
    <w:p>
      <w:pPr>
        <w:spacing w:after="0" w:line="186" w:lineRule="exact"/>
        <w:rPr>
          <w:sz w:val="24"/>
          <w:szCs w:val="24"/>
          <w:color w:val="auto"/>
        </w:rPr>
      </w:pPr>
    </w:p>
    <w:p>
      <w:pPr>
        <w:ind w:left="480"/>
        <w:spacing w:after="0"/>
        <w:rPr>
          <w:sz w:val="20"/>
          <w:szCs w:val="20"/>
          <w:color w:val="auto"/>
        </w:rPr>
      </w:pPr>
      <w:r>
        <w:rPr>
          <w:rFonts w:ascii="宋体" w:cs="宋体" w:eastAsia="宋体" w:hAnsi="宋体"/>
          <w:sz w:val="22"/>
          <w:szCs w:val="22"/>
          <w:color w:val="auto"/>
        </w:rPr>
        <w:t xml:space="preserve">《西钢集团灯塔矿业有限公司小汪沟铁矿由 </w:t>
      </w:r>
      <w:r>
        <w:rPr>
          <w:rFonts w:ascii="Times New Roman" w:cs="Times New Roman" w:eastAsia="Times New Roman" w:hAnsi="Times New Roman"/>
          <w:sz w:val="22"/>
          <w:szCs w:val="22"/>
          <w:color w:val="auto"/>
        </w:rPr>
        <w:t>115</w:t>
      </w:r>
      <w:r>
        <w:rPr>
          <w:rFonts w:ascii="宋体" w:cs="宋体" w:eastAsia="宋体" w:hAnsi="宋体"/>
          <w:sz w:val="22"/>
          <w:szCs w:val="22"/>
          <w:color w:val="auto"/>
        </w:rPr>
        <w:t xml:space="preserve"> 万 </w:t>
      </w:r>
      <w:r>
        <w:rPr>
          <w:rFonts w:ascii="Times New Roman" w:cs="Times New Roman" w:eastAsia="Times New Roman" w:hAnsi="Times New Roman"/>
          <w:sz w:val="22"/>
          <w:szCs w:val="22"/>
          <w:color w:val="auto"/>
        </w:rPr>
        <w:t>t/a</w:t>
      </w:r>
      <w:r>
        <w:rPr>
          <w:rFonts w:ascii="宋体" w:cs="宋体" w:eastAsia="宋体" w:hAnsi="宋体"/>
          <w:sz w:val="22"/>
          <w:szCs w:val="22"/>
          <w:color w:val="auto"/>
        </w:rPr>
        <w:t xml:space="preserve"> 增能至 </w:t>
      </w:r>
      <w:r>
        <w:rPr>
          <w:rFonts w:ascii="Times New Roman" w:cs="Times New Roman" w:eastAsia="Times New Roman" w:hAnsi="Times New Roman"/>
          <w:sz w:val="22"/>
          <w:szCs w:val="22"/>
          <w:color w:val="auto"/>
        </w:rPr>
        <w:t>270</w:t>
      </w:r>
      <w:r>
        <w:rPr>
          <w:rFonts w:ascii="宋体" w:cs="宋体" w:eastAsia="宋体" w:hAnsi="宋体"/>
          <w:sz w:val="22"/>
          <w:szCs w:val="22"/>
          <w:color w:val="auto"/>
        </w:rPr>
        <w:t xml:space="preserve"> 万 </w:t>
      </w:r>
      <w:r>
        <w:rPr>
          <w:rFonts w:ascii="Times New Roman" w:cs="Times New Roman" w:eastAsia="Times New Roman" w:hAnsi="Times New Roman"/>
          <w:sz w:val="22"/>
          <w:szCs w:val="22"/>
          <w:color w:val="auto"/>
        </w:rPr>
        <w:t>t/a</w:t>
      </w:r>
      <w:r>
        <w:rPr>
          <w:rFonts w:ascii="宋体" w:cs="宋体" w:eastAsia="宋体" w:hAnsi="宋体"/>
          <w:sz w:val="22"/>
          <w:szCs w:val="22"/>
          <w:color w:val="auto"/>
        </w:rPr>
        <w:t xml:space="preserve"> 技</w:t>
      </w:r>
    </w:p>
    <w:p>
      <w:pPr>
        <w:spacing w:after="0" w:line="198" w:lineRule="exact"/>
        <w:rPr>
          <w:sz w:val="24"/>
          <w:szCs w:val="24"/>
          <w:color w:val="auto"/>
        </w:rPr>
      </w:pPr>
    </w:p>
    <w:p>
      <w:pPr>
        <w:spacing w:after="0"/>
        <w:rPr>
          <w:sz w:val="20"/>
          <w:szCs w:val="20"/>
          <w:color w:val="auto"/>
        </w:rPr>
      </w:pPr>
      <w:r>
        <w:rPr>
          <w:rFonts w:ascii="宋体" w:cs="宋体" w:eastAsia="宋体" w:hAnsi="宋体"/>
          <w:sz w:val="22"/>
          <w:szCs w:val="22"/>
          <w:color w:val="auto"/>
        </w:rPr>
        <w:t>术改造工程竣工环境保护设施验收调查报告》编制完成后，</w:t>
      </w:r>
      <w:r>
        <w:rPr>
          <w:rFonts w:ascii="Times New Roman" w:cs="Times New Roman" w:eastAsia="Times New Roman" w:hAnsi="Times New Roman"/>
          <w:sz w:val="22"/>
          <w:szCs w:val="22"/>
          <w:color w:val="auto"/>
        </w:rPr>
        <w:t>2018</w:t>
      </w:r>
      <w:r>
        <w:rPr>
          <w:rFonts w:ascii="宋体" w:cs="宋体" w:eastAsia="宋体" w:hAnsi="宋体"/>
          <w:sz w:val="22"/>
          <w:szCs w:val="22"/>
          <w:color w:val="auto"/>
        </w:rPr>
        <w:t xml:space="preserve"> 年 </w:t>
      </w:r>
      <w:r>
        <w:rPr>
          <w:rFonts w:ascii="Times New Roman" w:cs="Times New Roman" w:eastAsia="Times New Roman" w:hAnsi="Times New Roman"/>
          <w:sz w:val="22"/>
          <w:szCs w:val="22"/>
          <w:color w:val="auto"/>
        </w:rPr>
        <w:t>12</w:t>
      </w:r>
      <w:r>
        <w:rPr>
          <w:rFonts w:ascii="宋体" w:cs="宋体" w:eastAsia="宋体" w:hAnsi="宋体"/>
          <w:sz w:val="22"/>
          <w:szCs w:val="22"/>
          <w:color w:val="auto"/>
        </w:rPr>
        <w:t xml:space="preserve"> 月 </w:t>
      </w:r>
      <w:r>
        <w:rPr>
          <w:rFonts w:ascii="Times New Roman" w:cs="Times New Roman" w:eastAsia="Times New Roman" w:hAnsi="Times New Roman"/>
          <w:sz w:val="22"/>
          <w:szCs w:val="22"/>
          <w:color w:val="auto"/>
        </w:rPr>
        <w:t>29</w:t>
      </w:r>
      <w:r>
        <w:rPr>
          <w:rFonts w:ascii="宋体" w:cs="宋体" w:eastAsia="宋体" w:hAnsi="宋体"/>
          <w:sz w:val="22"/>
          <w:szCs w:val="22"/>
          <w:color w:val="auto"/>
        </w:rPr>
        <w:t xml:space="preserve"> 日，</w:t>
      </w:r>
    </w:p>
    <w:p>
      <w:pPr>
        <w:spacing w:after="0" w:line="208" w:lineRule="exact"/>
        <w:rPr>
          <w:sz w:val="24"/>
          <w:szCs w:val="24"/>
          <w:color w:val="auto"/>
        </w:rPr>
      </w:pPr>
    </w:p>
    <w:p>
      <w:pPr>
        <w:spacing w:after="0"/>
        <w:rPr>
          <w:sz w:val="20"/>
          <w:szCs w:val="20"/>
          <w:color w:val="auto"/>
        </w:rPr>
      </w:pPr>
      <w:r>
        <w:rPr>
          <w:rFonts w:ascii="宋体" w:cs="宋体" w:eastAsia="宋体" w:hAnsi="宋体"/>
          <w:sz w:val="24"/>
          <w:szCs w:val="24"/>
          <w:color w:val="auto"/>
        </w:rPr>
        <w:t>西钢集团灯塔矿业有限公司邀请有关技术代表组成验收工作组进行技改工程竣</w:t>
      </w:r>
    </w:p>
    <w:p>
      <w:pPr>
        <w:spacing w:after="0" w:line="203" w:lineRule="exact"/>
        <w:rPr>
          <w:sz w:val="24"/>
          <w:szCs w:val="24"/>
          <w:color w:val="auto"/>
        </w:rPr>
      </w:pPr>
    </w:p>
    <w:p>
      <w:pPr>
        <w:spacing w:after="0"/>
        <w:rPr>
          <w:sz w:val="20"/>
          <w:szCs w:val="20"/>
          <w:color w:val="auto"/>
        </w:rPr>
      </w:pPr>
      <w:r>
        <w:rPr>
          <w:rFonts w:ascii="宋体" w:cs="宋体" w:eastAsia="宋体" w:hAnsi="宋体"/>
          <w:sz w:val="23"/>
          <w:szCs w:val="23"/>
          <w:color w:val="auto"/>
        </w:rPr>
        <w:t>工环境保护验收现场检查，并形成验收意见，同意技改工程环境保护设施通过竣</w:t>
      </w:r>
    </w:p>
    <w:p>
      <w:pPr>
        <w:spacing w:after="0" w:line="194" w:lineRule="exact"/>
        <w:rPr>
          <w:sz w:val="24"/>
          <w:szCs w:val="24"/>
          <w:color w:val="auto"/>
        </w:rPr>
      </w:pPr>
    </w:p>
    <w:p>
      <w:pPr>
        <w:spacing w:after="0"/>
        <w:rPr>
          <w:sz w:val="20"/>
          <w:szCs w:val="20"/>
          <w:color w:val="auto"/>
        </w:rPr>
      </w:pPr>
      <w:r>
        <w:rPr>
          <w:rFonts w:ascii="宋体" w:cs="宋体" w:eastAsia="宋体" w:hAnsi="宋体"/>
          <w:sz w:val="24"/>
          <w:szCs w:val="24"/>
          <w:color w:val="auto"/>
        </w:rPr>
        <w:t>工验收。</w:t>
      </w:r>
    </w:p>
    <w:p>
      <w:pPr>
        <w:spacing w:after="0" w:line="200" w:lineRule="exact"/>
        <w:rPr>
          <w:sz w:val="24"/>
          <w:szCs w:val="24"/>
          <w:color w:val="auto"/>
        </w:rPr>
      </w:pPr>
    </w:p>
    <w:p>
      <w:pPr>
        <w:spacing w:after="0" w:line="200" w:lineRule="exact"/>
        <w:rPr>
          <w:sz w:val="24"/>
          <w:szCs w:val="24"/>
          <w:color w:val="auto"/>
        </w:rPr>
      </w:pPr>
    </w:p>
    <w:p>
      <w:pPr>
        <w:spacing w:after="0" w:line="262" w:lineRule="exact"/>
        <w:rPr>
          <w:sz w:val="24"/>
          <w:szCs w:val="24"/>
          <w:color w:val="auto"/>
        </w:rPr>
      </w:pPr>
    </w:p>
    <w:p>
      <w:pPr>
        <w:ind w:left="4280"/>
        <w:spacing w:after="0"/>
        <w:rPr>
          <w:sz w:val="20"/>
          <w:szCs w:val="20"/>
          <w:color w:val="auto"/>
        </w:rPr>
      </w:pPr>
      <w:r>
        <w:rPr>
          <w:rFonts w:ascii="Times New Roman" w:cs="Times New Roman" w:eastAsia="Times New Roman" w:hAnsi="Times New Roman"/>
          <w:sz w:val="18"/>
          <w:szCs w:val="18"/>
          <w:color w:val="auto"/>
        </w:rPr>
        <w:t>1</w:t>
      </w:r>
    </w:p>
    <w:p>
      <w:pPr>
        <w:sectPr>
          <w:pgSz w:w="11900" w:h="16838" w:orient="portrait"/>
          <w:cols w:equalWidth="0" w:num="1">
            <w:col w:w="8300"/>
          </w:cols>
          <w:pgMar w:left="1800" w:top="1424" w:right="1800" w:bottom="942" w:gutter="0" w:footer="0" w:header="0"/>
        </w:sectPr>
      </w:pPr>
    </w:p>
    <w:bookmarkStart w:id="1" w:name="page2"/>
    <w:bookmarkEnd w:id="1"/>
    <w:p>
      <w:pPr>
        <w:spacing w:after="0"/>
        <w:rPr>
          <w:sz w:val="20"/>
          <w:szCs w:val="20"/>
          <w:color w:val="auto"/>
        </w:rPr>
      </w:pPr>
      <w:r>
        <w:rPr>
          <w:rFonts w:ascii="Times New Roman" w:cs="Times New Roman" w:eastAsia="Times New Roman" w:hAnsi="Times New Roman"/>
          <w:sz w:val="32"/>
          <w:szCs w:val="32"/>
          <w:b w:val="1"/>
          <w:bCs w:val="1"/>
          <w:color w:val="auto"/>
        </w:rPr>
        <mc:AlternateContent>
          <mc:Choice Requires="wps">
            <w:drawing>
              <wp:anchor simplePos="0" relativeHeight="251657728" behindDoc="1" locked="0" layoutInCell="0" allowOverlap="1">
                <wp:simplePos x="0" y="0"/>
                <wp:positionH relativeFrom="page">
                  <wp:posOffset>1124585</wp:posOffset>
                </wp:positionH>
                <wp:positionV relativeFrom="page">
                  <wp:posOffset>687070</wp:posOffset>
                </wp:positionV>
                <wp:extent cx="5311140" cy="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311140" cy="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88.55pt,54.1pt" to="506.75pt,54.1pt" o:allowincell="f" strokecolor="#000000" strokeweight="0.7199pt">
                <w10:wrap anchorx="page" anchory="page"/>
              </v:line>
            </w:pict>
          </mc:Fallback>
        </mc:AlternateContent>
        <w:t xml:space="preserve">2 </w:t>
      </w:r>
      <w:r>
        <w:rPr>
          <w:rFonts w:ascii="宋体" w:cs="宋体" w:eastAsia="宋体" w:hAnsi="宋体"/>
          <w:sz w:val="32"/>
          <w:szCs w:val="32"/>
          <w:color w:val="auto"/>
        </w:rPr>
        <w:t>信息公开和公众意见反馈</w:t>
      </w:r>
    </w:p>
    <w:p>
      <w:pPr>
        <w:spacing w:after="0" w:line="200" w:lineRule="exact"/>
        <w:rPr>
          <w:sz w:val="20"/>
          <w:szCs w:val="20"/>
          <w:color w:val="auto"/>
        </w:rPr>
      </w:pPr>
    </w:p>
    <w:p>
      <w:pPr>
        <w:spacing w:after="0" w:line="205" w:lineRule="exact"/>
        <w:rPr>
          <w:sz w:val="20"/>
          <w:szCs w:val="20"/>
          <w:color w:val="auto"/>
        </w:rPr>
      </w:pPr>
    </w:p>
    <w:p>
      <w:pPr>
        <w:ind w:left="480"/>
        <w:spacing w:after="0"/>
        <w:rPr>
          <w:sz w:val="20"/>
          <w:szCs w:val="20"/>
          <w:color w:val="auto"/>
        </w:rPr>
      </w:pPr>
      <w:r>
        <w:rPr>
          <w:rFonts w:ascii="宋体" w:cs="宋体" w:eastAsia="宋体" w:hAnsi="宋体"/>
          <w:sz w:val="24"/>
          <w:szCs w:val="24"/>
          <w:color w:val="auto"/>
        </w:rPr>
        <w:t>技改工程竣工环保验收调查期间，向周围可能受影响的公众发放调查问卷</w:t>
      </w:r>
    </w:p>
    <w:p>
      <w:pPr>
        <w:spacing w:after="0" w:line="186"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color w:val="auto"/>
        </w:rPr>
        <w:t xml:space="preserve">51 </w:t>
      </w:r>
      <w:r>
        <w:rPr>
          <w:rFonts w:ascii="宋体" w:cs="宋体" w:eastAsia="宋体" w:hAnsi="宋体"/>
          <w:sz w:val="24"/>
          <w:szCs w:val="24"/>
          <w:color w:val="auto"/>
        </w:rPr>
        <w:t>份，回收</w:t>
      </w:r>
      <w:r>
        <w:rPr>
          <w:rFonts w:ascii="Times New Roman" w:cs="Times New Roman" w:eastAsia="Times New Roman" w:hAnsi="Times New Roman"/>
          <w:sz w:val="24"/>
          <w:szCs w:val="24"/>
          <w:color w:val="auto"/>
        </w:rPr>
        <w:t xml:space="preserve"> 51 </w:t>
      </w:r>
      <w:r>
        <w:rPr>
          <w:rFonts w:ascii="宋体" w:cs="宋体" w:eastAsia="宋体" w:hAnsi="宋体"/>
          <w:sz w:val="24"/>
          <w:szCs w:val="24"/>
          <w:color w:val="auto"/>
        </w:rPr>
        <w:t>份，被调查公众认为技改工程实施未对其生活、生产产生较大的</w:t>
      </w:r>
    </w:p>
    <w:p>
      <w:pPr>
        <w:spacing w:after="0" w:line="182" w:lineRule="exact"/>
        <w:rPr>
          <w:sz w:val="20"/>
          <w:szCs w:val="20"/>
          <w:color w:val="auto"/>
        </w:rPr>
      </w:pPr>
    </w:p>
    <w:p>
      <w:pPr>
        <w:spacing w:after="0"/>
        <w:rPr>
          <w:sz w:val="20"/>
          <w:szCs w:val="20"/>
          <w:color w:val="auto"/>
        </w:rPr>
      </w:pPr>
      <w:r>
        <w:rPr>
          <w:rFonts w:ascii="宋体" w:cs="宋体" w:eastAsia="宋体" w:hAnsi="宋体"/>
          <w:sz w:val="24"/>
          <w:szCs w:val="24"/>
          <w:color w:val="auto"/>
        </w:rPr>
        <w:t>不利影响，企业采取环保措施有效，施工到竣工期间未发生环境影响事故。</w:t>
      </w:r>
    </w:p>
    <w:p>
      <w:pPr>
        <w:spacing w:after="0" w:line="334" w:lineRule="exact"/>
        <w:rPr>
          <w:sz w:val="20"/>
          <w:szCs w:val="20"/>
          <w:color w:val="auto"/>
        </w:rPr>
      </w:pPr>
    </w:p>
    <w:p>
      <w:pPr>
        <w:spacing w:after="0"/>
        <w:rPr>
          <w:sz w:val="20"/>
          <w:szCs w:val="20"/>
          <w:color w:val="auto"/>
        </w:rPr>
      </w:pPr>
      <w:r>
        <w:rPr>
          <w:rFonts w:ascii="Times New Roman" w:cs="Times New Roman" w:eastAsia="Times New Roman" w:hAnsi="Times New Roman"/>
          <w:sz w:val="32"/>
          <w:szCs w:val="32"/>
          <w:b w:val="1"/>
          <w:bCs w:val="1"/>
          <w:color w:val="auto"/>
        </w:rPr>
        <w:t xml:space="preserve">3 </w:t>
      </w:r>
      <w:r>
        <w:rPr>
          <w:rFonts w:ascii="宋体" w:cs="宋体" w:eastAsia="宋体" w:hAnsi="宋体"/>
          <w:sz w:val="32"/>
          <w:szCs w:val="32"/>
          <w:color w:val="auto"/>
        </w:rPr>
        <w:t>其他环境保护措施落实情况</w:t>
      </w:r>
    </w:p>
    <w:p>
      <w:pPr>
        <w:spacing w:after="0" w:line="389" w:lineRule="exact"/>
        <w:rPr>
          <w:sz w:val="20"/>
          <w:szCs w:val="20"/>
          <w:color w:val="auto"/>
        </w:rPr>
      </w:pPr>
    </w:p>
    <w:p>
      <w:pPr>
        <w:spacing w:after="0"/>
        <w:rPr>
          <w:sz w:val="20"/>
          <w:szCs w:val="20"/>
          <w:color w:val="auto"/>
        </w:rPr>
      </w:pPr>
      <w:r>
        <w:rPr>
          <w:rFonts w:ascii="Times New Roman" w:cs="Times New Roman" w:eastAsia="Times New Roman" w:hAnsi="Times New Roman"/>
          <w:sz w:val="30"/>
          <w:szCs w:val="30"/>
          <w:b w:val="1"/>
          <w:bCs w:val="1"/>
          <w:color w:val="auto"/>
        </w:rPr>
        <w:t xml:space="preserve">3.1 </w:t>
      </w:r>
      <w:r>
        <w:rPr>
          <w:rFonts w:ascii="宋体" w:cs="宋体" w:eastAsia="宋体" w:hAnsi="宋体"/>
          <w:sz w:val="30"/>
          <w:szCs w:val="30"/>
          <w:color w:val="auto"/>
        </w:rPr>
        <w:t>制度措施落实情况</w:t>
      </w:r>
    </w:p>
    <w:p>
      <w:pPr>
        <w:spacing w:after="0" w:line="378" w:lineRule="exact"/>
        <w:rPr>
          <w:sz w:val="20"/>
          <w:szCs w:val="20"/>
          <w:color w:val="auto"/>
        </w:rPr>
      </w:pPr>
    </w:p>
    <w:p>
      <w:pPr>
        <w:spacing w:after="0"/>
        <w:rPr>
          <w:sz w:val="20"/>
          <w:szCs w:val="20"/>
          <w:color w:val="auto"/>
        </w:rPr>
      </w:pPr>
      <w:r>
        <w:rPr>
          <w:rFonts w:ascii="Times New Roman" w:cs="Times New Roman" w:eastAsia="Times New Roman" w:hAnsi="Times New Roman"/>
          <w:sz w:val="28"/>
          <w:szCs w:val="28"/>
          <w:b w:val="1"/>
          <w:bCs w:val="1"/>
          <w:color w:val="auto"/>
        </w:rPr>
        <w:t xml:space="preserve">3.1.1 </w:t>
      </w:r>
      <w:r>
        <w:rPr>
          <w:rFonts w:ascii="宋体" w:cs="宋体" w:eastAsia="宋体" w:hAnsi="宋体"/>
          <w:sz w:val="28"/>
          <w:szCs w:val="28"/>
          <w:color w:val="auto"/>
        </w:rPr>
        <w:t>环境保护组织机构及规章制度</w:t>
      </w:r>
    </w:p>
    <w:p>
      <w:pPr>
        <w:spacing w:after="0" w:line="364" w:lineRule="exact"/>
        <w:rPr>
          <w:sz w:val="20"/>
          <w:szCs w:val="20"/>
          <w:color w:val="auto"/>
        </w:rPr>
      </w:pPr>
    </w:p>
    <w:p>
      <w:pPr>
        <w:ind w:left="480"/>
        <w:spacing w:after="0"/>
        <w:rPr>
          <w:sz w:val="20"/>
          <w:szCs w:val="20"/>
          <w:color w:val="auto"/>
        </w:rPr>
      </w:pPr>
      <w:r>
        <w:rPr>
          <w:rFonts w:ascii="宋体" w:cs="宋体" w:eastAsia="宋体" w:hAnsi="宋体"/>
          <w:sz w:val="24"/>
          <w:szCs w:val="24"/>
          <w:color w:val="auto"/>
        </w:rPr>
        <w:t xml:space="preserve">企业设专职环保组织机构，机构组织见表 </w:t>
      </w:r>
      <w:r>
        <w:rPr>
          <w:rFonts w:ascii="Times New Roman" w:cs="Times New Roman" w:eastAsia="Times New Roman" w:hAnsi="Times New Roman"/>
          <w:sz w:val="24"/>
          <w:szCs w:val="24"/>
          <w:color w:val="auto"/>
        </w:rPr>
        <w:t>3.1-1</w:t>
      </w:r>
      <w:r>
        <w:rPr>
          <w:rFonts w:ascii="宋体" w:cs="宋体" w:eastAsia="宋体" w:hAnsi="宋体"/>
          <w:sz w:val="24"/>
          <w:szCs w:val="24"/>
          <w:color w:val="auto"/>
        </w:rPr>
        <w:t>。</w:t>
      </w:r>
    </w:p>
    <w:p>
      <w:pPr>
        <w:spacing w:after="0" w:line="171" w:lineRule="exact"/>
        <w:rPr>
          <w:sz w:val="20"/>
          <w:szCs w:val="20"/>
          <w:color w:val="auto"/>
        </w:rPr>
      </w:pPr>
    </w:p>
    <w:tbl>
      <w:tblPr>
        <w:tblLayout w:type="fixed"/>
        <w:tblInd w:w="0" w:type="dxa"/>
        <w:tblCellMar>
          <w:top w:w="0" w:type="dxa"/>
          <w:left w:w="0" w:type="dxa"/>
          <w:bottom w:w="0" w:type="dxa"/>
          <w:right w:w="0" w:type="dxa"/>
        </w:tblCellMar>
      </w:tblPr>
      <w:tr>
        <w:trPr>
          <w:trHeight w:val="291"/>
        </w:trPr>
        <w:tc>
          <w:tcPr>
            <w:tcW w:w="1220" w:type="dxa"/>
            <w:vAlign w:val="bottom"/>
          </w:tcPr>
          <w:p>
            <w:pPr>
              <w:spacing w:after="0"/>
              <w:rPr>
                <w:sz w:val="24"/>
                <w:szCs w:val="24"/>
                <w:color w:val="auto"/>
              </w:rPr>
            </w:pPr>
          </w:p>
        </w:tc>
        <w:tc>
          <w:tcPr>
            <w:tcW w:w="1800" w:type="dxa"/>
            <w:vAlign w:val="bottom"/>
          </w:tcPr>
          <w:p>
            <w:pPr>
              <w:spacing w:after="0"/>
              <w:rPr>
                <w:sz w:val="24"/>
                <w:szCs w:val="24"/>
                <w:color w:val="auto"/>
              </w:rPr>
            </w:pPr>
          </w:p>
        </w:tc>
        <w:tc>
          <w:tcPr>
            <w:tcW w:w="5280" w:type="dxa"/>
            <w:vAlign w:val="bottom"/>
            <w:gridSpan w:val="2"/>
          </w:tcPr>
          <w:p>
            <w:pPr>
              <w:ind w:left="20"/>
              <w:spacing w:after="0"/>
              <w:rPr>
                <w:sz w:val="20"/>
                <w:szCs w:val="20"/>
                <w:color w:val="auto"/>
              </w:rPr>
            </w:pPr>
            <w:r>
              <w:rPr>
                <w:rFonts w:ascii="宋体" w:cs="宋体" w:eastAsia="宋体" w:hAnsi="宋体"/>
                <w:sz w:val="21"/>
                <w:szCs w:val="21"/>
                <w:color w:val="auto"/>
              </w:rPr>
              <w:t xml:space="preserve">表 </w:t>
            </w:r>
            <w:r>
              <w:rPr>
                <w:rFonts w:ascii="Times New Roman" w:cs="Times New Roman" w:eastAsia="Times New Roman" w:hAnsi="Times New Roman"/>
                <w:sz w:val="21"/>
                <w:szCs w:val="21"/>
                <w:b w:val="1"/>
                <w:bCs w:val="1"/>
                <w:color w:val="auto"/>
              </w:rPr>
              <w:t>8.1-1</w:t>
            </w:r>
            <w:r>
              <w:rPr>
                <w:rFonts w:ascii="宋体" w:cs="宋体" w:eastAsia="宋体" w:hAnsi="宋体"/>
                <w:sz w:val="21"/>
                <w:szCs w:val="21"/>
                <w:color w:val="auto"/>
              </w:rPr>
              <w:t xml:space="preserve"> 环保组织机构一览表</w:t>
            </w:r>
          </w:p>
        </w:tc>
        <w:tc>
          <w:tcPr>
            <w:tcW w:w="0" w:type="dxa"/>
            <w:vAlign w:val="bottom"/>
          </w:tcPr>
          <w:p>
            <w:pPr>
              <w:spacing w:after="0"/>
              <w:rPr>
                <w:sz w:val="1"/>
                <w:szCs w:val="1"/>
                <w:color w:val="auto"/>
              </w:rPr>
            </w:pPr>
          </w:p>
        </w:tc>
      </w:tr>
      <w:tr>
        <w:trPr>
          <w:trHeight w:val="138"/>
        </w:trPr>
        <w:tc>
          <w:tcPr>
            <w:tcW w:w="1220" w:type="dxa"/>
            <w:vAlign w:val="bottom"/>
            <w:tcBorders>
              <w:bottom w:val="single" w:sz="8" w:color="auto"/>
            </w:tcBorders>
          </w:tcPr>
          <w:p>
            <w:pPr>
              <w:spacing w:after="0"/>
              <w:rPr>
                <w:sz w:val="11"/>
                <w:szCs w:val="11"/>
                <w:color w:val="auto"/>
              </w:rPr>
            </w:pPr>
          </w:p>
        </w:tc>
        <w:tc>
          <w:tcPr>
            <w:tcW w:w="1800" w:type="dxa"/>
            <w:vAlign w:val="bottom"/>
            <w:tcBorders>
              <w:bottom w:val="single" w:sz="8" w:color="auto"/>
            </w:tcBorders>
          </w:tcPr>
          <w:p>
            <w:pPr>
              <w:spacing w:after="0"/>
              <w:rPr>
                <w:sz w:val="11"/>
                <w:szCs w:val="11"/>
                <w:color w:val="auto"/>
              </w:rPr>
            </w:pPr>
          </w:p>
        </w:tc>
        <w:tc>
          <w:tcPr>
            <w:tcW w:w="120" w:type="dxa"/>
            <w:vAlign w:val="bottom"/>
            <w:tcBorders>
              <w:bottom w:val="single" w:sz="8" w:color="auto"/>
            </w:tcBorders>
          </w:tcPr>
          <w:p>
            <w:pPr>
              <w:spacing w:after="0"/>
              <w:rPr>
                <w:sz w:val="11"/>
                <w:szCs w:val="11"/>
                <w:color w:val="auto"/>
              </w:rPr>
            </w:pPr>
          </w:p>
        </w:tc>
        <w:tc>
          <w:tcPr>
            <w:tcW w:w="5160" w:type="dxa"/>
            <w:vAlign w:val="bottom"/>
            <w:tcBorders>
              <w:bottom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42"/>
        </w:trPr>
        <w:tc>
          <w:tcPr>
            <w:tcW w:w="1220" w:type="dxa"/>
            <w:vAlign w:val="bottom"/>
            <w:tcBorders>
              <w:right w:val="single" w:sz="8" w:color="auto"/>
            </w:tcBorders>
          </w:tcPr>
          <w:p>
            <w:pPr>
              <w:jc w:val="center"/>
              <w:spacing w:after="0" w:line="239" w:lineRule="exact"/>
              <w:rPr>
                <w:sz w:val="20"/>
                <w:szCs w:val="20"/>
                <w:color w:val="auto"/>
              </w:rPr>
            </w:pPr>
            <w:r>
              <w:rPr>
                <w:rFonts w:ascii="宋体" w:cs="宋体" w:eastAsia="宋体" w:hAnsi="宋体"/>
                <w:sz w:val="21"/>
                <w:szCs w:val="21"/>
                <w:color w:val="auto"/>
              </w:rPr>
              <w:t>职务</w:t>
            </w:r>
          </w:p>
        </w:tc>
        <w:tc>
          <w:tcPr>
            <w:tcW w:w="1800" w:type="dxa"/>
            <w:vAlign w:val="bottom"/>
          </w:tcPr>
          <w:p>
            <w:pPr>
              <w:jc w:val="center"/>
              <w:spacing w:after="0" w:line="239" w:lineRule="exact"/>
              <w:rPr>
                <w:sz w:val="20"/>
                <w:szCs w:val="20"/>
                <w:color w:val="auto"/>
              </w:rPr>
            </w:pPr>
            <w:r>
              <w:rPr>
                <w:rFonts w:ascii="宋体" w:cs="宋体" w:eastAsia="宋体" w:hAnsi="宋体"/>
                <w:sz w:val="21"/>
                <w:szCs w:val="21"/>
                <w:color w:val="auto"/>
              </w:rPr>
              <w:t>姓名</w:t>
            </w:r>
          </w:p>
        </w:tc>
        <w:tc>
          <w:tcPr>
            <w:tcW w:w="120" w:type="dxa"/>
            <w:vAlign w:val="bottom"/>
            <w:tcBorders>
              <w:right w:val="single" w:sz="8" w:color="auto"/>
            </w:tcBorders>
          </w:tcPr>
          <w:p>
            <w:pPr>
              <w:spacing w:after="0"/>
              <w:rPr>
                <w:sz w:val="21"/>
                <w:szCs w:val="21"/>
                <w:color w:val="auto"/>
              </w:rPr>
            </w:pPr>
          </w:p>
        </w:tc>
        <w:tc>
          <w:tcPr>
            <w:tcW w:w="5160" w:type="dxa"/>
            <w:vAlign w:val="bottom"/>
          </w:tcPr>
          <w:p>
            <w:pPr>
              <w:ind w:left="2360"/>
              <w:spacing w:after="0" w:line="239" w:lineRule="exact"/>
              <w:rPr>
                <w:sz w:val="20"/>
                <w:szCs w:val="20"/>
                <w:color w:val="auto"/>
              </w:rPr>
            </w:pPr>
            <w:r>
              <w:rPr>
                <w:rFonts w:ascii="宋体" w:cs="宋体" w:eastAsia="宋体" w:hAnsi="宋体"/>
                <w:sz w:val="21"/>
                <w:szCs w:val="21"/>
                <w:color w:val="auto"/>
              </w:rPr>
              <w:t>职责</w:t>
            </w:r>
          </w:p>
        </w:tc>
        <w:tc>
          <w:tcPr>
            <w:tcW w:w="0" w:type="dxa"/>
            <w:vAlign w:val="bottom"/>
          </w:tcPr>
          <w:p>
            <w:pPr>
              <w:spacing w:after="0"/>
              <w:rPr>
                <w:sz w:val="1"/>
                <w:szCs w:val="1"/>
                <w:color w:val="auto"/>
              </w:rPr>
            </w:pPr>
          </w:p>
        </w:tc>
      </w:tr>
      <w:tr>
        <w:trPr>
          <w:trHeight w:val="32"/>
        </w:trPr>
        <w:tc>
          <w:tcPr>
            <w:tcW w:w="1220" w:type="dxa"/>
            <w:vAlign w:val="bottom"/>
            <w:tcBorders>
              <w:bottom w:val="single" w:sz="8" w:color="auto"/>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tcBorders>
              <w:bottom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29"/>
        </w:trPr>
        <w:tc>
          <w:tcPr>
            <w:tcW w:w="1220" w:type="dxa"/>
            <w:vAlign w:val="bottom"/>
            <w:tcBorders>
              <w:right w:val="single" w:sz="8" w:color="auto"/>
            </w:tcBorders>
            <w:vMerge w:val="restart"/>
          </w:tcPr>
          <w:p>
            <w:pPr>
              <w:jc w:val="center"/>
              <w:spacing w:after="0" w:line="239" w:lineRule="exact"/>
              <w:rPr>
                <w:sz w:val="20"/>
                <w:szCs w:val="20"/>
                <w:color w:val="auto"/>
              </w:rPr>
            </w:pPr>
            <w:r>
              <w:rPr>
                <w:rFonts w:ascii="宋体" w:cs="宋体" w:eastAsia="宋体" w:hAnsi="宋体"/>
                <w:sz w:val="21"/>
                <w:szCs w:val="21"/>
                <w:color w:val="auto"/>
              </w:rPr>
              <w:t>组长</w:t>
            </w:r>
          </w:p>
        </w:tc>
        <w:tc>
          <w:tcPr>
            <w:tcW w:w="1800" w:type="dxa"/>
            <w:vAlign w:val="bottom"/>
            <w:vMerge w:val="restart"/>
          </w:tcPr>
          <w:p>
            <w:pPr>
              <w:jc w:val="center"/>
              <w:spacing w:after="0" w:line="239" w:lineRule="exact"/>
              <w:rPr>
                <w:sz w:val="20"/>
                <w:szCs w:val="20"/>
                <w:color w:val="auto"/>
              </w:rPr>
            </w:pPr>
            <w:r>
              <w:rPr>
                <w:rFonts w:ascii="宋体" w:cs="宋体" w:eastAsia="宋体" w:hAnsi="宋体"/>
                <w:sz w:val="21"/>
                <w:szCs w:val="21"/>
                <w:color w:val="auto"/>
                <w:w w:val="99"/>
              </w:rPr>
              <w:t>毕士安（总经理）</w:t>
            </w:r>
          </w:p>
        </w:tc>
        <w:tc>
          <w:tcPr>
            <w:tcW w:w="120" w:type="dxa"/>
            <w:vAlign w:val="bottom"/>
            <w:tcBorders>
              <w:right w:val="single" w:sz="8" w:color="auto"/>
            </w:tcBorders>
          </w:tcPr>
          <w:p>
            <w:pPr>
              <w:spacing w:after="0"/>
              <w:rPr>
                <w:sz w:val="19"/>
                <w:szCs w:val="19"/>
                <w:color w:val="auto"/>
              </w:rPr>
            </w:pPr>
          </w:p>
        </w:tc>
        <w:tc>
          <w:tcPr>
            <w:tcW w:w="5160" w:type="dxa"/>
            <w:vAlign w:val="bottom"/>
          </w:tcPr>
          <w:p>
            <w:pPr>
              <w:ind w:left="80"/>
              <w:spacing w:after="0" w:line="229" w:lineRule="exact"/>
              <w:rPr>
                <w:sz w:val="20"/>
                <w:szCs w:val="20"/>
                <w:color w:val="auto"/>
              </w:rPr>
            </w:pPr>
            <w:r>
              <w:rPr>
                <w:rFonts w:ascii="宋体" w:cs="宋体" w:eastAsia="宋体" w:hAnsi="宋体"/>
                <w:sz w:val="21"/>
                <w:szCs w:val="21"/>
                <w:color w:val="auto"/>
              </w:rPr>
              <w:t>企业环保工作第一负责人，全面负责企业环保和治理工</w:t>
            </w:r>
          </w:p>
        </w:tc>
        <w:tc>
          <w:tcPr>
            <w:tcW w:w="0" w:type="dxa"/>
            <w:vAlign w:val="bottom"/>
          </w:tcPr>
          <w:p>
            <w:pPr>
              <w:spacing w:after="0"/>
              <w:rPr>
                <w:sz w:val="1"/>
                <w:szCs w:val="1"/>
                <w:color w:val="auto"/>
              </w:rPr>
            </w:pPr>
          </w:p>
        </w:tc>
      </w:tr>
      <w:tr>
        <w:trPr>
          <w:trHeight w:val="274"/>
        </w:trPr>
        <w:tc>
          <w:tcPr>
            <w:tcW w:w="1220" w:type="dxa"/>
            <w:vAlign w:val="bottom"/>
            <w:tcBorders>
              <w:right w:val="single" w:sz="8" w:color="auto"/>
            </w:tcBorders>
            <w:vMerge w:val="continue"/>
          </w:tcPr>
          <w:p>
            <w:pPr>
              <w:spacing w:after="0"/>
              <w:rPr>
                <w:sz w:val="23"/>
                <w:szCs w:val="23"/>
                <w:color w:val="auto"/>
              </w:rPr>
            </w:pPr>
          </w:p>
        </w:tc>
        <w:tc>
          <w:tcPr>
            <w:tcW w:w="1800" w:type="dxa"/>
            <w:vAlign w:val="bottom"/>
            <w:vMerge w:val="continue"/>
          </w:tcPr>
          <w:p>
            <w:pPr>
              <w:spacing w:after="0"/>
              <w:rPr>
                <w:sz w:val="23"/>
                <w:szCs w:val="23"/>
                <w:color w:val="auto"/>
              </w:rPr>
            </w:pPr>
          </w:p>
        </w:tc>
        <w:tc>
          <w:tcPr>
            <w:tcW w:w="120" w:type="dxa"/>
            <w:vAlign w:val="bottom"/>
            <w:tcBorders>
              <w:right w:val="single" w:sz="8" w:color="auto"/>
            </w:tcBorders>
          </w:tcPr>
          <w:p>
            <w:pPr>
              <w:spacing w:after="0"/>
              <w:rPr>
                <w:sz w:val="23"/>
                <w:szCs w:val="23"/>
                <w:color w:val="auto"/>
              </w:rPr>
            </w:pPr>
          </w:p>
        </w:tc>
        <w:tc>
          <w:tcPr>
            <w:tcW w:w="5160" w:type="dxa"/>
            <w:vAlign w:val="bottom"/>
          </w:tcPr>
          <w:p>
            <w:pPr>
              <w:ind w:left="80"/>
              <w:spacing w:after="0" w:line="239" w:lineRule="exact"/>
              <w:rPr>
                <w:sz w:val="20"/>
                <w:szCs w:val="20"/>
                <w:color w:val="auto"/>
              </w:rPr>
            </w:pPr>
            <w:r>
              <w:rPr>
                <w:rFonts w:ascii="宋体" w:cs="宋体" w:eastAsia="宋体" w:hAnsi="宋体"/>
                <w:sz w:val="21"/>
                <w:szCs w:val="21"/>
                <w:color w:val="auto"/>
              </w:rPr>
              <w:t>作</w:t>
            </w:r>
          </w:p>
        </w:tc>
        <w:tc>
          <w:tcPr>
            <w:tcW w:w="0" w:type="dxa"/>
            <w:vAlign w:val="bottom"/>
          </w:tcPr>
          <w:p>
            <w:pPr>
              <w:spacing w:after="0"/>
              <w:rPr>
                <w:sz w:val="1"/>
                <w:szCs w:val="1"/>
                <w:color w:val="auto"/>
              </w:rPr>
            </w:pPr>
          </w:p>
        </w:tc>
      </w:tr>
      <w:tr>
        <w:trPr>
          <w:trHeight w:val="32"/>
        </w:trPr>
        <w:tc>
          <w:tcPr>
            <w:tcW w:w="1220" w:type="dxa"/>
            <w:vAlign w:val="bottom"/>
            <w:tcBorders>
              <w:bottom w:val="single" w:sz="8" w:color="auto"/>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tcBorders>
              <w:bottom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29"/>
        </w:trPr>
        <w:tc>
          <w:tcPr>
            <w:tcW w:w="1220" w:type="dxa"/>
            <w:vAlign w:val="bottom"/>
            <w:tcBorders>
              <w:right w:val="single" w:sz="8" w:color="auto"/>
            </w:tcBorders>
          </w:tcPr>
          <w:p>
            <w:pPr>
              <w:spacing w:after="0"/>
              <w:rPr>
                <w:sz w:val="19"/>
                <w:szCs w:val="19"/>
                <w:color w:val="auto"/>
              </w:rPr>
            </w:pPr>
          </w:p>
        </w:tc>
        <w:tc>
          <w:tcPr>
            <w:tcW w:w="1800" w:type="dxa"/>
            <w:vAlign w:val="bottom"/>
            <w:vMerge w:val="restart"/>
          </w:tcPr>
          <w:p>
            <w:pPr>
              <w:jc w:val="center"/>
              <w:spacing w:after="0" w:line="239" w:lineRule="exact"/>
              <w:rPr>
                <w:sz w:val="20"/>
                <w:szCs w:val="20"/>
                <w:color w:val="auto"/>
              </w:rPr>
            </w:pPr>
            <w:r>
              <w:rPr>
                <w:rFonts w:ascii="宋体" w:cs="宋体" w:eastAsia="宋体" w:hAnsi="宋体"/>
                <w:sz w:val="21"/>
                <w:szCs w:val="21"/>
                <w:color w:val="auto"/>
              </w:rPr>
              <w:t>魏文轩</w:t>
            </w:r>
          </w:p>
        </w:tc>
        <w:tc>
          <w:tcPr>
            <w:tcW w:w="120" w:type="dxa"/>
            <w:vAlign w:val="bottom"/>
            <w:tcBorders>
              <w:right w:val="single" w:sz="8" w:color="auto"/>
            </w:tcBorders>
          </w:tcPr>
          <w:p>
            <w:pPr>
              <w:spacing w:after="0"/>
              <w:rPr>
                <w:sz w:val="19"/>
                <w:szCs w:val="19"/>
                <w:color w:val="auto"/>
              </w:rPr>
            </w:pPr>
          </w:p>
        </w:tc>
        <w:tc>
          <w:tcPr>
            <w:tcW w:w="5160" w:type="dxa"/>
            <w:vAlign w:val="bottom"/>
          </w:tcPr>
          <w:p>
            <w:pPr>
              <w:ind w:left="80"/>
              <w:spacing w:after="0" w:line="229" w:lineRule="exact"/>
              <w:rPr>
                <w:sz w:val="20"/>
                <w:szCs w:val="20"/>
                <w:color w:val="auto"/>
              </w:rPr>
            </w:pPr>
            <w:r>
              <w:rPr>
                <w:rFonts w:ascii="宋体" w:cs="宋体" w:eastAsia="宋体" w:hAnsi="宋体"/>
                <w:sz w:val="21"/>
                <w:szCs w:val="21"/>
                <w:color w:val="auto"/>
              </w:rPr>
              <w:t>负责企业环保工作的日常监督管理、环保相关信息搜</w:t>
            </w:r>
          </w:p>
        </w:tc>
        <w:tc>
          <w:tcPr>
            <w:tcW w:w="0" w:type="dxa"/>
            <w:vAlign w:val="bottom"/>
          </w:tcPr>
          <w:p>
            <w:pPr>
              <w:spacing w:after="0"/>
              <w:rPr>
                <w:sz w:val="1"/>
                <w:szCs w:val="1"/>
                <w:color w:val="auto"/>
              </w:rPr>
            </w:pPr>
          </w:p>
        </w:tc>
      </w:tr>
      <w:tr>
        <w:trPr>
          <w:trHeight w:val="137"/>
        </w:trPr>
        <w:tc>
          <w:tcPr>
            <w:tcW w:w="1220" w:type="dxa"/>
            <w:vAlign w:val="bottom"/>
            <w:tcBorders>
              <w:right w:val="single" w:sz="8" w:color="auto"/>
            </w:tcBorders>
          </w:tcPr>
          <w:p>
            <w:pPr>
              <w:spacing w:after="0"/>
              <w:rPr>
                <w:sz w:val="11"/>
                <w:szCs w:val="11"/>
                <w:color w:val="auto"/>
              </w:rPr>
            </w:pPr>
          </w:p>
        </w:tc>
        <w:tc>
          <w:tcPr>
            <w:tcW w:w="1800" w:type="dxa"/>
            <w:vAlign w:val="bottom"/>
            <w:vMerge w:val="continue"/>
          </w:tcPr>
          <w:p>
            <w:pPr>
              <w:spacing w:after="0"/>
              <w:rPr>
                <w:sz w:val="11"/>
                <w:szCs w:val="11"/>
                <w:color w:val="auto"/>
              </w:rPr>
            </w:pPr>
          </w:p>
        </w:tc>
        <w:tc>
          <w:tcPr>
            <w:tcW w:w="120" w:type="dxa"/>
            <w:vAlign w:val="bottom"/>
            <w:tcBorders>
              <w:right w:val="single" w:sz="8" w:color="auto"/>
            </w:tcBorders>
          </w:tcPr>
          <w:p>
            <w:pPr>
              <w:spacing w:after="0"/>
              <w:rPr>
                <w:sz w:val="11"/>
                <w:szCs w:val="11"/>
                <w:color w:val="auto"/>
              </w:rPr>
            </w:pPr>
          </w:p>
        </w:tc>
        <w:tc>
          <w:tcPr>
            <w:tcW w:w="5160" w:type="dxa"/>
            <w:vAlign w:val="bottom"/>
            <w:vMerge w:val="restart"/>
          </w:tcPr>
          <w:p>
            <w:pPr>
              <w:ind w:left="80"/>
              <w:spacing w:after="0" w:line="239" w:lineRule="exact"/>
              <w:rPr>
                <w:sz w:val="20"/>
                <w:szCs w:val="20"/>
                <w:color w:val="auto"/>
              </w:rPr>
            </w:pPr>
            <w:r>
              <w:rPr>
                <w:rFonts w:ascii="宋体" w:cs="宋体" w:eastAsia="宋体" w:hAnsi="宋体"/>
                <w:sz w:val="21"/>
                <w:szCs w:val="21"/>
                <w:color w:val="auto"/>
              </w:rPr>
              <w:t>索、培训、宣传及执行</w:t>
            </w:r>
          </w:p>
        </w:tc>
        <w:tc>
          <w:tcPr>
            <w:tcW w:w="0" w:type="dxa"/>
            <w:vAlign w:val="bottom"/>
          </w:tcPr>
          <w:p>
            <w:pPr>
              <w:spacing w:after="0"/>
              <w:rPr>
                <w:sz w:val="1"/>
                <w:szCs w:val="1"/>
                <w:color w:val="auto"/>
              </w:rPr>
            </w:pPr>
          </w:p>
        </w:tc>
      </w:tr>
      <w:tr>
        <w:trPr>
          <w:trHeight w:val="137"/>
        </w:trPr>
        <w:tc>
          <w:tcPr>
            <w:tcW w:w="1220" w:type="dxa"/>
            <w:vAlign w:val="bottom"/>
            <w:tcBorders>
              <w:right w:val="single" w:sz="8" w:color="auto"/>
            </w:tcBorders>
            <w:vMerge w:val="restart"/>
          </w:tcPr>
          <w:p>
            <w:pPr>
              <w:jc w:val="center"/>
              <w:spacing w:after="0" w:line="239" w:lineRule="exact"/>
              <w:rPr>
                <w:sz w:val="20"/>
                <w:szCs w:val="20"/>
                <w:color w:val="auto"/>
              </w:rPr>
            </w:pPr>
            <w:r>
              <w:rPr>
                <w:rFonts w:ascii="宋体" w:cs="宋体" w:eastAsia="宋体" w:hAnsi="宋体"/>
                <w:sz w:val="21"/>
                <w:szCs w:val="21"/>
                <w:color w:val="auto"/>
              </w:rPr>
              <w:t>副组长</w:t>
            </w:r>
          </w:p>
        </w:tc>
        <w:tc>
          <w:tcPr>
            <w:tcW w:w="1800" w:type="dxa"/>
            <w:vAlign w:val="bottom"/>
          </w:tcPr>
          <w:p>
            <w:pPr>
              <w:spacing w:after="0"/>
              <w:rPr>
                <w:sz w:val="11"/>
                <w:szCs w:val="11"/>
                <w:color w:val="auto"/>
              </w:rPr>
            </w:pPr>
          </w:p>
        </w:tc>
        <w:tc>
          <w:tcPr>
            <w:tcW w:w="120" w:type="dxa"/>
            <w:vAlign w:val="bottom"/>
            <w:tcBorders>
              <w:right w:val="single" w:sz="8" w:color="auto"/>
            </w:tcBorders>
          </w:tcPr>
          <w:p>
            <w:pPr>
              <w:spacing w:after="0"/>
              <w:rPr>
                <w:sz w:val="11"/>
                <w:szCs w:val="11"/>
                <w:color w:val="auto"/>
              </w:rPr>
            </w:pPr>
          </w:p>
        </w:tc>
        <w:tc>
          <w:tcPr>
            <w:tcW w:w="5160" w:type="dxa"/>
            <w:vAlign w:val="bottom"/>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32"/>
        </w:trPr>
        <w:tc>
          <w:tcPr>
            <w:tcW w:w="1220" w:type="dxa"/>
            <w:vAlign w:val="bottom"/>
            <w:tcBorders>
              <w:right w:val="single" w:sz="8" w:color="auto"/>
            </w:tcBorders>
            <w:vMerge w:val="continue"/>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tcBorders>
              <w:bottom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90"/>
        </w:trPr>
        <w:tc>
          <w:tcPr>
            <w:tcW w:w="1220" w:type="dxa"/>
            <w:vAlign w:val="bottom"/>
            <w:tcBorders>
              <w:right w:val="single" w:sz="8" w:color="auto"/>
            </w:tcBorders>
            <w:vMerge w:val="continue"/>
          </w:tcPr>
          <w:p>
            <w:pPr>
              <w:spacing w:after="0"/>
              <w:rPr>
                <w:sz w:val="7"/>
                <w:szCs w:val="7"/>
                <w:color w:val="auto"/>
              </w:rPr>
            </w:pPr>
          </w:p>
        </w:tc>
        <w:tc>
          <w:tcPr>
            <w:tcW w:w="1800" w:type="dxa"/>
            <w:vAlign w:val="bottom"/>
            <w:vMerge w:val="restart"/>
          </w:tcPr>
          <w:p>
            <w:pPr>
              <w:jc w:val="center"/>
              <w:spacing w:after="0" w:line="239" w:lineRule="exact"/>
              <w:rPr>
                <w:sz w:val="20"/>
                <w:szCs w:val="20"/>
                <w:color w:val="auto"/>
              </w:rPr>
            </w:pPr>
            <w:r>
              <w:rPr>
                <w:rFonts w:ascii="宋体" w:cs="宋体" w:eastAsia="宋体" w:hAnsi="宋体"/>
                <w:sz w:val="21"/>
                <w:szCs w:val="21"/>
                <w:color w:val="auto"/>
              </w:rPr>
              <w:t>吴永久</w:t>
            </w:r>
          </w:p>
        </w:tc>
        <w:tc>
          <w:tcPr>
            <w:tcW w:w="120" w:type="dxa"/>
            <w:vAlign w:val="bottom"/>
            <w:tcBorders>
              <w:right w:val="single" w:sz="8" w:color="auto"/>
            </w:tcBorders>
          </w:tcPr>
          <w:p>
            <w:pPr>
              <w:spacing w:after="0"/>
              <w:rPr>
                <w:sz w:val="7"/>
                <w:szCs w:val="7"/>
                <w:color w:val="auto"/>
              </w:rPr>
            </w:pPr>
          </w:p>
        </w:tc>
        <w:tc>
          <w:tcPr>
            <w:tcW w:w="5160" w:type="dxa"/>
            <w:vAlign w:val="bottom"/>
            <w:vMerge w:val="restart"/>
          </w:tcPr>
          <w:p>
            <w:pPr>
              <w:ind w:left="80"/>
              <w:spacing w:after="0" w:line="231" w:lineRule="exact"/>
              <w:rPr>
                <w:sz w:val="20"/>
                <w:szCs w:val="20"/>
                <w:color w:val="auto"/>
              </w:rPr>
            </w:pPr>
            <w:r>
              <w:rPr>
                <w:rFonts w:ascii="宋体" w:cs="宋体" w:eastAsia="宋体" w:hAnsi="宋体"/>
                <w:sz w:val="21"/>
                <w:szCs w:val="21"/>
                <w:color w:val="auto"/>
              </w:rPr>
              <w:t>负责车间生产环境卫生的控制，负责车间用电、用水的</w:t>
            </w:r>
          </w:p>
        </w:tc>
        <w:tc>
          <w:tcPr>
            <w:tcW w:w="0" w:type="dxa"/>
            <w:vAlign w:val="bottom"/>
          </w:tcPr>
          <w:p>
            <w:pPr>
              <w:spacing w:after="0"/>
              <w:rPr>
                <w:sz w:val="1"/>
                <w:szCs w:val="1"/>
                <w:color w:val="auto"/>
              </w:rPr>
            </w:pPr>
          </w:p>
        </w:tc>
      </w:tr>
      <w:tr>
        <w:trPr>
          <w:trHeight w:val="142"/>
        </w:trPr>
        <w:tc>
          <w:tcPr>
            <w:tcW w:w="1220" w:type="dxa"/>
            <w:vAlign w:val="bottom"/>
            <w:tcBorders>
              <w:right w:val="single" w:sz="8" w:color="auto"/>
            </w:tcBorders>
          </w:tcPr>
          <w:p>
            <w:pPr>
              <w:spacing w:after="0"/>
              <w:rPr>
                <w:sz w:val="12"/>
                <w:szCs w:val="12"/>
                <w:color w:val="auto"/>
              </w:rPr>
            </w:pPr>
          </w:p>
        </w:tc>
        <w:tc>
          <w:tcPr>
            <w:tcW w:w="1800" w:type="dxa"/>
            <w:vAlign w:val="bottom"/>
            <w:vMerge w:val="continue"/>
          </w:tcPr>
          <w:p>
            <w:pPr>
              <w:spacing w:after="0"/>
              <w:rPr>
                <w:sz w:val="12"/>
                <w:szCs w:val="12"/>
                <w:color w:val="auto"/>
              </w:rPr>
            </w:pPr>
          </w:p>
        </w:tc>
        <w:tc>
          <w:tcPr>
            <w:tcW w:w="120" w:type="dxa"/>
            <w:vAlign w:val="bottom"/>
            <w:tcBorders>
              <w:right w:val="single" w:sz="8" w:color="auto"/>
            </w:tcBorders>
          </w:tcPr>
          <w:p>
            <w:pPr>
              <w:spacing w:after="0"/>
              <w:rPr>
                <w:sz w:val="12"/>
                <w:szCs w:val="12"/>
                <w:color w:val="auto"/>
              </w:rPr>
            </w:pPr>
          </w:p>
        </w:tc>
        <w:tc>
          <w:tcPr>
            <w:tcW w:w="5160" w:type="dxa"/>
            <w:vAlign w:val="bottom"/>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34"/>
        </w:trPr>
        <w:tc>
          <w:tcPr>
            <w:tcW w:w="1220" w:type="dxa"/>
            <w:vAlign w:val="bottom"/>
            <w:tcBorders>
              <w:right w:val="single" w:sz="8" w:color="auto"/>
            </w:tcBorders>
          </w:tcPr>
          <w:p>
            <w:pPr>
              <w:spacing w:after="0"/>
              <w:rPr>
                <w:sz w:val="11"/>
                <w:szCs w:val="11"/>
                <w:color w:val="auto"/>
              </w:rPr>
            </w:pPr>
          </w:p>
        </w:tc>
        <w:tc>
          <w:tcPr>
            <w:tcW w:w="1800" w:type="dxa"/>
            <w:vAlign w:val="bottom"/>
            <w:vMerge w:val="continue"/>
          </w:tcPr>
          <w:p>
            <w:pPr>
              <w:spacing w:after="0"/>
              <w:rPr>
                <w:sz w:val="11"/>
                <w:szCs w:val="11"/>
                <w:color w:val="auto"/>
              </w:rPr>
            </w:pPr>
          </w:p>
        </w:tc>
        <w:tc>
          <w:tcPr>
            <w:tcW w:w="120" w:type="dxa"/>
            <w:vAlign w:val="bottom"/>
            <w:tcBorders>
              <w:right w:val="single" w:sz="8" w:color="auto"/>
            </w:tcBorders>
          </w:tcPr>
          <w:p>
            <w:pPr>
              <w:spacing w:after="0"/>
              <w:rPr>
                <w:sz w:val="11"/>
                <w:szCs w:val="11"/>
                <w:color w:val="auto"/>
              </w:rPr>
            </w:pPr>
          </w:p>
        </w:tc>
        <w:tc>
          <w:tcPr>
            <w:tcW w:w="5160" w:type="dxa"/>
            <w:vAlign w:val="bottom"/>
            <w:vMerge w:val="restart"/>
          </w:tcPr>
          <w:p>
            <w:pPr>
              <w:ind w:left="80"/>
              <w:spacing w:after="0" w:line="239" w:lineRule="exact"/>
              <w:rPr>
                <w:sz w:val="20"/>
                <w:szCs w:val="20"/>
                <w:color w:val="auto"/>
              </w:rPr>
            </w:pPr>
            <w:r>
              <w:rPr>
                <w:rFonts w:ascii="宋体" w:cs="宋体" w:eastAsia="宋体" w:hAnsi="宋体"/>
                <w:sz w:val="21"/>
                <w:szCs w:val="21"/>
                <w:color w:val="auto"/>
              </w:rPr>
              <w:t>控制；负责相关环保设备设施的维护及正常运转。</w:t>
            </w:r>
          </w:p>
        </w:tc>
        <w:tc>
          <w:tcPr>
            <w:tcW w:w="0" w:type="dxa"/>
            <w:vAlign w:val="bottom"/>
          </w:tcPr>
          <w:p>
            <w:pPr>
              <w:spacing w:after="0"/>
              <w:rPr>
                <w:sz w:val="1"/>
                <w:szCs w:val="1"/>
                <w:color w:val="auto"/>
              </w:rPr>
            </w:pPr>
          </w:p>
        </w:tc>
      </w:tr>
      <w:tr>
        <w:trPr>
          <w:trHeight w:val="137"/>
        </w:trPr>
        <w:tc>
          <w:tcPr>
            <w:tcW w:w="1220" w:type="dxa"/>
            <w:vAlign w:val="bottom"/>
            <w:tcBorders>
              <w:right w:val="single" w:sz="8" w:color="auto"/>
            </w:tcBorders>
          </w:tcPr>
          <w:p>
            <w:pPr>
              <w:spacing w:after="0"/>
              <w:rPr>
                <w:sz w:val="11"/>
                <w:szCs w:val="11"/>
                <w:color w:val="auto"/>
              </w:rPr>
            </w:pPr>
          </w:p>
        </w:tc>
        <w:tc>
          <w:tcPr>
            <w:tcW w:w="1800" w:type="dxa"/>
            <w:vAlign w:val="bottom"/>
          </w:tcPr>
          <w:p>
            <w:pPr>
              <w:spacing w:after="0"/>
              <w:rPr>
                <w:sz w:val="11"/>
                <w:szCs w:val="11"/>
                <w:color w:val="auto"/>
              </w:rPr>
            </w:pPr>
          </w:p>
        </w:tc>
        <w:tc>
          <w:tcPr>
            <w:tcW w:w="120" w:type="dxa"/>
            <w:vAlign w:val="bottom"/>
            <w:tcBorders>
              <w:right w:val="single" w:sz="8" w:color="auto"/>
            </w:tcBorders>
          </w:tcPr>
          <w:p>
            <w:pPr>
              <w:spacing w:after="0"/>
              <w:rPr>
                <w:sz w:val="11"/>
                <w:szCs w:val="11"/>
                <w:color w:val="auto"/>
              </w:rPr>
            </w:pPr>
          </w:p>
        </w:tc>
        <w:tc>
          <w:tcPr>
            <w:tcW w:w="5160" w:type="dxa"/>
            <w:vAlign w:val="bottom"/>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34"/>
        </w:trPr>
        <w:tc>
          <w:tcPr>
            <w:tcW w:w="1220" w:type="dxa"/>
            <w:vAlign w:val="bottom"/>
            <w:tcBorders>
              <w:bottom w:val="single" w:sz="8" w:color="auto"/>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tcBorders>
              <w:bottom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61"/>
        </w:trPr>
        <w:tc>
          <w:tcPr>
            <w:tcW w:w="1220" w:type="dxa"/>
            <w:vAlign w:val="bottom"/>
            <w:tcBorders>
              <w:right w:val="single" w:sz="8" w:color="auto"/>
            </w:tcBorders>
          </w:tcPr>
          <w:p>
            <w:pPr>
              <w:spacing w:after="0"/>
              <w:rPr>
                <w:sz w:val="22"/>
                <w:szCs w:val="22"/>
                <w:color w:val="auto"/>
              </w:rPr>
            </w:pPr>
          </w:p>
        </w:tc>
        <w:tc>
          <w:tcPr>
            <w:tcW w:w="1800" w:type="dxa"/>
            <w:vAlign w:val="bottom"/>
            <w:tcBorders>
              <w:bottom w:val="single" w:sz="8" w:color="auto"/>
            </w:tcBorders>
          </w:tcPr>
          <w:p>
            <w:pPr>
              <w:jc w:val="center"/>
              <w:spacing w:after="0" w:line="229" w:lineRule="exact"/>
              <w:rPr>
                <w:sz w:val="20"/>
                <w:szCs w:val="20"/>
                <w:color w:val="auto"/>
              </w:rPr>
            </w:pPr>
            <w:r>
              <w:rPr>
                <w:rFonts w:ascii="宋体" w:cs="宋体" w:eastAsia="宋体" w:hAnsi="宋体"/>
                <w:sz w:val="21"/>
                <w:szCs w:val="21"/>
                <w:color w:val="auto"/>
              </w:rPr>
              <w:t>孙毅</w:t>
            </w:r>
          </w:p>
        </w:tc>
        <w:tc>
          <w:tcPr>
            <w:tcW w:w="120" w:type="dxa"/>
            <w:vAlign w:val="bottom"/>
            <w:tcBorders>
              <w:bottom w:val="single" w:sz="8" w:color="auto"/>
              <w:right w:val="single" w:sz="8" w:color="auto"/>
            </w:tcBorders>
          </w:tcPr>
          <w:p>
            <w:pPr>
              <w:spacing w:after="0"/>
              <w:rPr>
                <w:sz w:val="22"/>
                <w:szCs w:val="22"/>
                <w:color w:val="auto"/>
              </w:rPr>
            </w:pPr>
          </w:p>
        </w:tc>
        <w:tc>
          <w:tcPr>
            <w:tcW w:w="5160" w:type="dxa"/>
            <w:vAlign w:val="bottom"/>
          </w:tcPr>
          <w:p>
            <w:pPr>
              <w:ind w:left="80"/>
              <w:spacing w:after="0"/>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1</w:t>
            </w:r>
            <w:r>
              <w:rPr>
                <w:rFonts w:ascii="宋体" w:cs="宋体" w:eastAsia="宋体" w:hAnsi="宋体"/>
                <w:sz w:val="21"/>
                <w:szCs w:val="21"/>
                <w:color w:val="auto"/>
              </w:rPr>
              <w:t>）协助领导组织推动本企业的环境保护工作，贯彻</w:t>
            </w:r>
          </w:p>
        </w:tc>
        <w:tc>
          <w:tcPr>
            <w:tcW w:w="0" w:type="dxa"/>
            <w:vAlign w:val="bottom"/>
          </w:tcPr>
          <w:p>
            <w:pPr>
              <w:spacing w:after="0"/>
              <w:rPr>
                <w:sz w:val="1"/>
                <w:szCs w:val="1"/>
                <w:color w:val="auto"/>
              </w:rPr>
            </w:pPr>
          </w:p>
        </w:tc>
      </w:tr>
      <w:tr>
        <w:trPr>
          <w:trHeight w:val="229"/>
        </w:trPr>
        <w:tc>
          <w:tcPr>
            <w:tcW w:w="1220" w:type="dxa"/>
            <w:vAlign w:val="bottom"/>
            <w:tcBorders>
              <w:right w:val="single" w:sz="8" w:color="auto"/>
            </w:tcBorders>
          </w:tcPr>
          <w:p>
            <w:pPr>
              <w:spacing w:after="0"/>
              <w:rPr>
                <w:sz w:val="19"/>
                <w:szCs w:val="19"/>
                <w:color w:val="auto"/>
              </w:rPr>
            </w:pPr>
          </w:p>
        </w:tc>
        <w:tc>
          <w:tcPr>
            <w:tcW w:w="1800" w:type="dxa"/>
            <w:vAlign w:val="bottom"/>
          </w:tcPr>
          <w:p>
            <w:pPr>
              <w:jc w:val="center"/>
              <w:spacing w:after="0" w:line="229" w:lineRule="exact"/>
              <w:rPr>
                <w:sz w:val="20"/>
                <w:szCs w:val="20"/>
                <w:color w:val="auto"/>
              </w:rPr>
            </w:pPr>
            <w:r>
              <w:rPr>
                <w:rFonts w:ascii="宋体" w:cs="宋体" w:eastAsia="宋体" w:hAnsi="宋体"/>
                <w:sz w:val="21"/>
                <w:szCs w:val="21"/>
                <w:color w:val="auto"/>
              </w:rPr>
              <w:t>于克伟</w:t>
            </w:r>
          </w:p>
        </w:tc>
        <w:tc>
          <w:tcPr>
            <w:tcW w:w="120" w:type="dxa"/>
            <w:vAlign w:val="bottom"/>
            <w:tcBorders>
              <w:right w:val="single" w:sz="8" w:color="auto"/>
            </w:tcBorders>
          </w:tcPr>
          <w:p>
            <w:pPr>
              <w:spacing w:after="0"/>
              <w:rPr>
                <w:sz w:val="19"/>
                <w:szCs w:val="19"/>
                <w:color w:val="auto"/>
              </w:rPr>
            </w:pPr>
          </w:p>
        </w:tc>
        <w:tc>
          <w:tcPr>
            <w:tcW w:w="5160" w:type="dxa"/>
            <w:vAlign w:val="bottom"/>
          </w:tcPr>
          <w:p>
            <w:pPr>
              <w:ind w:left="80"/>
              <w:spacing w:after="0" w:line="219" w:lineRule="exact"/>
              <w:rPr>
                <w:sz w:val="20"/>
                <w:szCs w:val="20"/>
                <w:color w:val="auto"/>
              </w:rPr>
            </w:pPr>
            <w:r>
              <w:rPr>
                <w:rFonts w:ascii="宋体" w:cs="宋体" w:eastAsia="宋体" w:hAnsi="宋体"/>
                <w:sz w:val="21"/>
                <w:szCs w:val="21"/>
                <w:color w:val="auto"/>
              </w:rPr>
              <w:t>执行环境保护的法律、法规、规章、标准及其他要求；</w:t>
            </w:r>
          </w:p>
        </w:tc>
        <w:tc>
          <w:tcPr>
            <w:tcW w:w="0" w:type="dxa"/>
            <w:vAlign w:val="bottom"/>
          </w:tcPr>
          <w:p>
            <w:pPr>
              <w:spacing w:after="0"/>
              <w:rPr>
                <w:sz w:val="1"/>
                <w:szCs w:val="1"/>
                <w:color w:val="auto"/>
              </w:rPr>
            </w:pPr>
          </w:p>
        </w:tc>
      </w:tr>
      <w:tr>
        <w:trPr>
          <w:trHeight w:val="34"/>
        </w:trPr>
        <w:tc>
          <w:tcPr>
            <w:tcW w:w="1220" w:type="dxa"/>
            <w:vAlign w:val="bottom"/>
            <w:tcBorders>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vMerge w:val="restart"/>
          </w:tcPr>
          <w:p>
            <w:pPr>
              <w:ind w:left="80"/>
              <w:spacing w:after="0"/>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2</w:t>
            </w:r>
            <w:r>
              <w:rPr>
                <w:rFonts w:ascii="宋体" w:cs="宋体" w:eastAsia="宋体" w:hAnsi="宋体"/>
                <w:sz w:val="21"/>
                <w:szCs w:val="21"/>
                <w:color w:val="auto"/>
              </w:rPr>
              <w:t>）组织和协调相关部门制定或修订相关的环境保护</w:t>
            </w:r>
          </w:p>
        </w:tc>
        <w:tc>
          <w:tcPr>
            <w:tcW w:w="0" w:type="dxa"/>
            <w:vAlign w:val="bottom"/>
          </w:tcPr>
          <w:p>
            <w:pPr>
              <w:spacing w:after="0"/>
              <w:rPr>
                <w:sz w:val="1"/>
                <w:szCs w:val="1"/>
                <w:color w:val="auto"/>
              </w:rPr>
            </w:pPr>
          </w:p>
        </w:tc>
      </w:tr>
      <w:tr>
        <w:trPr>
          <w:trHeight w:val="250"/>
        </w:trPr>
        <w:tc>
          <w:tcPr>
            <w:tcW w:w="1220" w:type="dxa"/>
            <w:vAlign w:val="bottom"/>
            <w:tcBorders>
              <w:right w:val="single" w:sz="8" w:color="auto"/>
            </w:tcBorders>
          </w:tcPr>
          <w:p>
            <w:pPr>
              <w:spacing w:after="0"/>
              <w:rPr>
                <w:sz w:val="21"/>
                <w:szCs w:val="21"/>
                <w:color w:val="auto"/>
              </w:rPr>
            </w:pPr>
          </w:p>
        </w:tc>
        <w:tc>
          <w:tcPr>
            <w:tcW w:w="1800" w:type="dxa"/>
            <w:vAlign w:val="bottom"/>
            <w:tcBorders>
              <w:bottom w:val="single" w:sz="8" w:color="auto"/>
            </w:tcBorders>
          </w:tcPr>
          <w:p>
            <w:pPr>
              <w:jc w:val="center"/>
              <w:spacing w:after="0" w:line="229" w:lineRule="exact"/>
              <w:rPr>
                <w:sz w:val="20"/>
                <w:szCs w:val="20"/>
                <w:color w:val="auto"/>
              </w:rPr>
            </w:pPr>
            <w:r>
              <w:rPr>
                <w:rFonts w:ascii="宋体" w:cs="宋体" w:eastAsia="宋体" w:hAnsi="宋体"/>
                <w:sz w:val="21"/>
                <w:szCs w:val="21"/>
                <w:color w:val="auto"/>
              </w:rPr>
              <w:t>袁汉鹏</w:t>
            </w:r>
          </w:p>
        </w:tc>
        <w:tc>
          <w:tcPr>
            <w:tcW w:w="120" w:type="dxa"/>
            <w:vAlign w:val="bottom"/>
            <w:tcBorders>
              <w:bottom w:val="single" w:sz="8" w:color="auto"/>
              <w:right w:val="single" w:sz="8" w:color="auto"/>
            </w:tcBorders>
          </w:tcPr>
          <w:p>
            <w:pPr>
              <w:spacing w:after="0"/>
              <w:rPr>
                <w:sz w:val="21"/>
                <w:szCs w:val="21"/>
                <w:color w:val="auto"/>
              </w:rPr>
            </w:pPr>
          </w:p>
        </w:tc>
        <w:tc>
          <w:tcPr>
            <w:tcW w:w="5160" w:type="dxa"/>
            <w:vAlign w:val="bottom"/>
            <w:vMerge w:val="continue"/>
          </w:tcPr>
          <w:p>
            <w:pPr>
              <w:spacing w:after="0"/>
              <w:rPr>
                <w:sz w:val="21"/>
                <w:szCs w:val="21"/>
                <w:color w:val="auto"/>
              </w:rPr>
            </w:pPr>
          </w:p>
        </w:tc>
        <w:tc>
          <w:tcPr>
            <w:tcW w:w="0" w:type="dxa"/>
            <w:vAlign w:val="bottom"/>
          </w:tcPr>
          <w:p>
            <w:pPr>
              <w:spacing w:after="0"/>
              <w:rPr>
                <w:sz w:val="1"/>
                <w:szCs w:val="1"/>
                <w:color w:val="auto"/>
              </w:rPr>
            </w:pPr>
          </w:p>
        </w:tc>
      </w:tr>
      <w:tr>
        <w:trPr>
          <w:trHeight w:val="242"/>
        </w:trPr>
        <w:tc>
          <w:tcPr>
            <w:tcW w:w="1220" w:type="dxa"/>
            <w:vAlign w:val="bottom"/>
            <w:tcBorders>
              <w:right w:val="single" w:sz="8" w:color="auto"/>
            </w:tcBorders>
          </w:tcPr>
          <w:p>
            <w:pPr>
              <w:spacing w:after="0"/>
              <w:rPr>
                <w:sz w:val="21"/>
                <w:szCs w:val="21"/>
                <w:color w:val="auto"/>
              </w:rPr>
            </w:pPr>
          </w:p>
        </w:tc>
        <w:tc>
          <w:tcPr>
            <w:tcW w:w="1800" w:type="dxa"/>
            <w:vAlign w:val="bottom"/>
          </w:tcPr>
          <w:p>
            <w:pPr>
              <w:jc w:val="center"/>
              <w:spacing w:after="0" w:line="239" w:lineRule="exact"/>
              <w:rPr>
                <w:sz w:val="20"/>
                <w:szCs w:val="20"/>
                <w:color w:val="auto"/>
              </w:rPr>
            </w:pPr>
            <w:r>
              <w:rPr>
                <w:rFonts w:ascii="宋体" w:cs="宋体" w:eastAsia="宋体" w:hAnsi="宋体"/>
                <w:sz w:val="21"/>
                <w:szCs w:val="21"/>
                <w:color w:val="auto"/>
              </w:rPr>
              <w:t>苗成军</w:t>
            </w:r>
          </w:p>
        </w:tc>
        <w:tc>
          <w:tcPr>
            <w:tcW w:w="120" w:type="dxa"/>
            <w:vAlign w:val="bottom"/>
            <w:tcBorders>
              <w:right w:val="single" w:sz="8" w:color="auto"/>
            </w:tcBorders>
          </w:tcPr>
          <w:p>
            <w:pPr>
              <w:spacing w:after="0"/>
              <w:rPr>
                <w:sz w:val="21"/>
                <w:szCs w:val="21"/>
                <w:color w:val="auto"/>
              </w:rPr>
            </w:pPr>
          </w:p>
        </w:tc>
        <w:tc>
          <w:tcPr>
            <w:tcW w:w="5160" w:type="dxa"/>
            <w:vAlign w:val="bottom"/>
          </w:tcPr>
          <w:p>
            <w:pPr>
              <w:ind w:left="80"/>
              <w:spacing w:after="0" w:line="210" w:lineRule="exact"/>
              <w:rPr>
                <w:sz w:val="20"/>
                <w:szCs w:val="20"/>
                <w:color w:val="auto"/>
              </w:rPr>
            </w:pPr>
            <w:r>
              <w:rPr>
                <w:rFonts w:ascii="宋体" w:cs="宋体" w:eastAsia="宋体" w:hAnsi="宋体"/>
                <w:sz w:val="21"/>
                <w:szCs w:val="21"/>
                <w:color w:val="auto"/>
              </w:rPr>
              <w:t>规章制度和操作规程，并对其贯彻执行情况进行监督检</w:t>
            </w:r>
          </w:p>
        </w:tc>
        <w:tc>
          <w:tcPr>
            <w:tcW w:w="0" w:type="dxa"/>
            <w:vAlign w:val="bottom"/>
          </w:tcPr>
          <w:p>
            <w:pPr>
              <w:spacing w:after="0"/>
              <w:rPr>
                <w:sz w:val="1"/>
                <w:szCs w:val="1"/>
                <w:color w:val="auto"/>
              </w:rPr>
            </w:pPr>
          </w:p>
        </w:tc>
      </w:tr>
      <w:tr>
        <w:trPr>
          <w:trHeight w:val="32"/>
        </w:trPr>
        <w:tc>
          <w:tcPr>
            <w:tcW w:w="1220" w:type="dxa"/>
            <w:vAlign w:val="bottom"/>
            <w:tcBorders>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vMerge w:val="restart"/>
          </w:tcPr>
          <w:p>
            <w:pPr>
              <w:ind w:left="80"/>
              <w:spacing w:after="0" w:line="239" w:lineRule="exact"/>
              <w:rPr>
                <w:sz w:val="20"/>
                <w:szCs w:val="20"/>
                <w:color w:val="auto"/>
              </w:rPr>
            </w:pPr>
            <w:r>
              <w:rPr>
                <w:rFonts w:ascii="宋体" w:cs="宋体" w:eastAsia="宋体" w:hAnsi="宋体"/>
                <w:sz w:val="21"/>
                <w:szCs w:val="21"/>
                <w:color w:val="auto"/>
              </w:rPr>
              <w:t>查；</w:t>
            </w:r>
          </w:p>
        </w:tc>
        <w:tc>
          <w:tcPr>
            <w:tcW w:w="0" w:type="dxa"/>
            <w:vAlign w:val="bottom"/>
          </w:tcPr>
          <w:p>
            <w:pPr>
              <w:spacing w:after="0"/>
              <w:rPr>
                <w:sz w:val="1"/>
                <w:szCs w:val="1"/>
                <w:color w:val="auto"/>
              </w:rPr>
            </w:pPr>
          </w:p>
        </w:tc>
      </w:tr>
      <w:tr>
        <w:trPr>
          <w:trHeight w:val="214"/>
        </w:trPr>
        <w:tc>
          <w:tcPr>
            <w:tcW w:w="1220" w:type="dxa"/>
            <w:vAlign w:val="bottom"/>
            <w:tcBorders>
              <w:right w:val="single" w:sz="8" w:color="auto"/>
            </w:tcBorders>
          </w:tcPr>
          <w:p>
            <w:pPr>
              <w:spacing w:after="0"/>
              <w:rPr>
                <w:sz w:val="18"/>
                <w:szCs w:val="18"/>
                <w:color w:val="auto"/>
              </w:rPr>
            </w:pPr>
          </w:p>
        </w:tc>
        <w:tc>
          <w:tcPr>
            <w:tcW w:w="1800" w:type="dxa"/>
            <w:vAlign w:val="bottom"/>
          </w:tcPr>
          <w:p>
            <w:pPr>
              <w:jc w:val="center"/>
              <w:spacing w:after="0" w:line="214" w:lineRule="exact"/>
              <w:rPr>
                <w:sz w:val="20"/>
                <w:szCs w:val="20"/>
                <w:color w:val="auto"/>
              </w:rPr>
            </w:pPr>
            <w:r>
              <w:rPr>
                <w:rFonts w:ascii="宋体" w:cs="宋体" w:eastAsia="宋体" w:hAnsi="宋体"/>
                <w:sz w:val="21"/>
                <w:szCs w:val="21"/>
                <w:color w:val="auto"/>
              </w:rPr>
              <w:t>罗辉</w:t>
            </w:r>
          </w:p>
        </w:tc>
        <w:tc>
          <w:tcPr>
            <w:tcW w:w="120" w:type="dxa"/>
            <w:vAlign w:val="bottom"/>
            <w:tcBorders>
              <w:right w:val="single" w:sz="8" w:color="auto"/>
            </w:tcBorders>
          </w:tcPr>
          <w:p>
            <w:pPr>
              <w:spacing w:after="0"/>
              <w:rPr>
                <w:sz w:val="18"/>
                <w:szCs w:val="18"/>
                <w:color w:val="auto"/>
              </w:rPr>
            </w:pPr>
          </w:p>
        </w:tc>
        <w:tc>
          <w:tcPr>
            <w:tcW w:w="5160" w:type="dxa"/>
            <w:vAlign w:val="bottom"/>
            <w:vMerge w:val="continue"/>
          </w:tcPr>
          <w:p>
            <w:pPr>
              <w:spacing w:after="0"/>
              <w:rPr>
                <w:sz w:val="18"/>
                <w:szCs w:val="18"/>
                <w:color w:val="auto"/>
              </w:rPr>
            </w:pPr>
          </w:p>
        </w:tc>
        <w:tc>
          <w:tcPr>
            <w:tcW w:w="0" w:type="dxa"/>
            <w:vAlign w:val="bottom"/>
          </w:tcPr>
          <w:p>
            <w:pPr>
              <w:spacing w:after="0"/>
              <w:rPr>
                <w:sz w:val="1"/>
                <w:szCs w:val="1"/>
                <w:color w:val="auto"/>
              </w:rPr>
            </w:pPr>
          </w:p>
        </w:tc>
      </w:tr>
      <w:tr>
        <w:trPr>
          <w:trHeight w:val="49"/>
        </w:trPr>
        <w:tc>
          <w:tcPr>
            <w:tcW w:w="1220" w:type="dxa"/>
            <w:vAlign w:val="bottom"/>
            <w:tcBorders>
              <w:right w:val="single" w:sz="8" w:color="auto"/>
            </w:tcBorders>
          </w:tcPr>
          <w:p>
            <w:pPr>
              <w:spacing w:after="0"/>
              <w:rPr>
                <w:sz w:val="4"/>
                <w:szCs w:val="4"/>
                <w:color w:val="auto"/>
              </w:rPr>
            </w:pPr>
          </w:p>
        </w:tc>
        <w:tc>
          <w:tcPr>
            <w:tcW w:w="1800" w:type="dxa"/>
            <w:vAlign w:val="bottom"/>
            <w:tcBorders>
              <w:bottom w:val="single" w:sz="8" w:color="auto"/>
            </w:tcBorders>
          </w:tcPr>
          <w:p>
            <w:pPr>
              <w:spacing w:after="0"/>
              <w:rPr>
                <w:sz w:val="4"/>
                <w:szCs w:val="4"/>
                <w:color w:val="auto"/>
              </w:rPr>
            </w:pPr>
          </w:p>
        </w:tc>
        <w:tc>
          <w:tcPr>
            <w:tcW w:w="120" w:type="dxa"/>
            <w:vAlign w:val="bottom"/>
            <w:tcBorders>
              <w:bottom w:val="single" w:sz="8" w:color="auto"/>
              <w:right w:val="single" w:sz="8" w:color="auto"/>
            </w:tcBorders>
          </w:tcPr>
          <w:p>
            <w:pPr>
              <w:spacing w:after="0"/>
              <w:rPr>
                <w:sz w:val="4"/>
                <w:szCs w:val="4"/>
                <w:color w:val="auto"/>
              </w:rPr>
            </w:pPr>
          </w:p>
        </w:tc>
        <w:tc>
          <w:tcPr>
            <w:tcW w:w="5160" w:type="dxa"/>
            <w:vAlign w:val="bottom"/>
            <w:vMerge w:val="restart"/>
          </w:tcPr>
          <w:p>
            <w:pPr>
              <w:ind w:left="80"/>
              <w:spacing w:after="0"/>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3</w:t>
            </w:r>
            <w:r>
              <w:rPr>
                <w:rFonts w:ascii="宋体" w:cs="宋体" w:eastAsia="宋体" w:hAnsi="宋体"/>
                <w:sz w:val="21"/>
                <w:szCs w:val="21"/>
                <w:color w:val="auto"/>
              </w:rPr>
              <w:t>）汇总和审查相关环保技术措施计划并督促有关部</w:t>
            </w:r>
          </w:p>
        </w:tc>
        <w:tc>
          <w:tcPr>
            <w:tcW w:w="0" w:type="dxa"/>
            <w:vAlign w:val="bottom"/>
          </w:tcPr>
          <w:p>
            <w:pPr>
              <w:spacing w:after="0"/>
              <w:rPr>
                <w:sz w:val="1"/>
                <w:szCs w:val="1"/>
                <w:color w:val="auto"/>
              </w:rPr>
            </w:pPr>
          </w:p>
        </w:tc>
      </w:tr>
      <w:tr>
        <w:trPr>
          <w:trHeight w:val="229"/>
        </w:trPr>
        <w:tc>
          <w:tcPr>
            <w:tcW w:w="1220" w:type="dxa"/>
            <w:vAlign w:val="bottom"/>
            <w:tcBorders>
              <w:right w:val="single" w:sz="8" w:color="auto"/>
            </w:tcBorders>
          </w:tcPr>
          <w:p>
            <w:pPr>
              <w:spacing w:after="0"/>
              <w:rPr>
                <w:sz w:val="19"/>
                <w:szCs w:val="19"/>
                <w:color w:val="auto"/>
              </w:rPr>
            </w:pPr>
          </w:p>
        </w:tc>
        <w:tc>
          <w:tcPr>
            <w:tcW w:w="1800" w:type="dxa"/>
            <w:vAlign w:val="bottom"/>
          </w:tcPr>
          <w:p>
            <w:pPr>
              <w:jc w:val="center"/>
              <w:spacing w:after="0" w:line="229" w:lineRule="exact"/>
              <w:rPr>
                <w:sz w:val="20"/>
                <w:szCs w:val="20"/>
                <w:color w:val="auto"/>
              </w:rPr>
            </w:pPr>
            <w:r>
              <w:rPr>
                <w:rFonts w:ascii="宋体" w:cs="宋体" w:eastAsia="宋体" w:hAnsi="宋体"/>
                <w:sz w:val="21"/>
                <w:szCs w:val="21"/>
                <w:color w:val="auto"/>
              </w:rPr>
              <w:t>尹克林</w:t>
            </w:r>
          </w:p>
        </w:tc>
        <w:tc>
          <w:tcPr>
            <w:tcW w:w="120" w:type="dxa"/>
            <w:vAlign w:val="bottom"/>
            <w:tcBorders>
              <w:right w:val="single" w:sz="8" w:color="auto"/>
            </w:tcBorders>
          </w:tcPr>
          <w:p>
            <w:pPr>
              <w:spacing w:after="0"/>
              <w:rPr>
                <w:sz w:val="19"/>
                <w:szCs w:val="19"/>
                <w:color w:val="auto"/>
              </w:rPr>
            </w:pPr>
          </w:p>
        </w:tc>
        <w:tc>
          <w:tcPr>
            <w:tcW w:w="5160" w:type="dxa"/>
            <w:vAlign w:val="bottom"/>
            <w:vMerge w:val="continue"/>
          </w:tcPr>
          <w:p>
            <w:pPr>
              <w:spacing w:after="0"/>
              <w:rPr>
                <w:sz w:val="19"/>
                <w:szCs w:val="19"/>
                <w:color w:val="auto"/>
              </w:rPr>
            </w:pPr>
          </w:p>
        </w:tc>
        <w:tc>
          <w:tcPr>
            <w:tcW w:w="0" w:type="dxa"/>
            <w:vAlign w:val="bottom"/>
          </w:tcPr>
          <w:p>
            <w:pPr>
              <w:spacing w:after="0"/>
              <w:rPr>
                <w:sz w:val="1"/>
                <w:szCs w:val="1"/>
                <w:color w:val="auto"/>
              </w:rPr>
            </w:pPr>
          </w:p>
        </w:tc>
      </w:tr>
      <w:tr>
        <w:trPr>
          <w:trHeight w:val="32"/>
        </w:trPr>
        <w:tc>
          <w:tcPr>
            <w:tcW w:w="1220" w:type="dxa"/>
            <w:vAlign w:val="bottom"/>
            <w:tcBorders>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vMerge w:val="restart"/>
          </w:tcPr>
          <w:p>
            <w:pPr>
              <w:ind w:left="80"/>
              <w:spacing w:after="0" w:line="223" w:lineRule="exact"/>
              <w:rPr>
                <w:sz w:val="20"/>
                <w:szCs w:val="20"/>
                <w:color w:val="auto"/>
              </w:rPr>
            </w:pPr>
            <w:r>
              <w:rPr>
                <w:rFonts w:ascii="宋体" w:cs="宋体" w:eastAsia="宋体" w:hAnsi="宋体"/>
                <w:sz w:val="21"/>
                <w:szCs w:val="21"/>
                <w:color w:val="auto"/>
              </w:rPr>
              <w:t>门或人员切实执行；</w:t>
            </w:r>
          </w:p>
        </w:tc>
        <w:tc>
          <w:tcPr>
            <w:tcW w:w="0" w:type="dxa"/>
            <w:vAlign w:val="bottom"/>
          </w:tcPr>
          <w:p>
            <w:pPr>
              <w:spacing w:after="0"/>
              <w:rPr>
                <w:sz w:val="1"/>
                <w:szCs w:val="1"/>
                <w:color w:val="auto"/>
              </w:rPr>
            </w:pPr>
          </w:p>
        </w:tc>
      </w:tr>
      <w:tr>
        <w:trPr>
          <w:trHeight w:val="171"/>
        </w:trPr>
        <w:tc>
          <w:tcPr>
            <w:tcW w:w="1220" w:type="dxa"/>
            <w:vAlign w:val="bottom"/>
            <w:tcBorders>
              <w:right w:val="single" w:sz="8" w:color="auto"/>
            </w:tcBorders>
          </w:tcPr>
          <w:p>
            <w:pPr>
              <w:spacing w:after="0"/>
              <w:rPr>
                <w:sz w:val="14"/>
                <w:szCs w:val="14"/>
                <w:color w:val="auto"/>
              </w:rPr>
            </w:pPr>
          </w:p>
        </w:tc>
        <w:tc>
          <w:tcPr>
            <w:tcW w:w="1800" w:type="dxa"/>
            <w:vAlign w:val="bottom"/>
            <w:vMerge w:val="restart"/>
          </w:tcPr>
          <w:p>
            <w:pPr>
              <w:jc w:val="center"/>
              <w:spacing w:after="0" w:line="231" w:lineRule="exact"/>
              <w:rPr>
                <w:sz w:val="20"/>
                <w:szCs w:val="20"/>
                <w:color w:val="auto"/>
              </w:rPr>
            </w:pPr>
            <w:r>
              <w:rPr>
                <w:rFonts w:ascii="宋体" w:cs="宋体" w:eastAsia="宋体" w:hAnsi="宋体"/>
                <w:sz w:val="21"/>
                <w:szCs w:val="21"/>
                <w:color w:val="auto"/>
              </w:rPr>
              <w:t>赵云峰</w:t>
            </w:r>
          </w:p>
        </w:tc>
        <w:tc>
          <w:tcPr>
            <w:tcW w:w="120" w:type="dxa"/>
            <w:vAlign w:val="bottom"/>
            <w:tcBorders>
              <w:right w:val="single" w:sz="8" w:color="auto"/>
            </w:tcBorders>
          </w:tcPr>
          <w:p>
            <w:pPr>
              <w:spacing w:after="0"/>
              <w:rPr>
                <w:sz w:val="14"/>
                <w:szCs w:val="14"/>
                <w:color w:val="auto"/>
              </w:rPr>
            </w:pPr>
          </w:p>
        </w:tc>
        <w:tc>
          <w:tcPr>
            <w:tcW w:w="5160" w:type="dxa"/>
            <w:vAlign w:val="bottom"/>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60"/>
        </w:trPr>
        <w:tc>
          <w:tcPr>
            <w:tcW w:w="1220" w:type="dxa"/>
            <w:vAlign w:val="bottom"/>
            <w:tcBorders>
              <w:right w:val="single" w:sz="8" w:color="auto"/>
            </w:tcBorders>
          </w:tcPr>
          <w:p>
            <w:pPr>
              <w:spacing w:after="0"/>
              <w:rPr>
                <w:sz w:val="5"/>
                <w:szCs w:val="5"/>
                <w:color w:val="auto"/>
              </w:rPr>
            </w:pPr>
          </w:p>
        </w:tc>
        <w:tc>
          <w:tcPr>
            <w:tcW w:w="1800" w:type="dxa"/>
            <w:vAlign w:val="bottom"/>
            <w:vMerge w:val="continue"/>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5160" w:type="dxa"/>
            <w:vAlign w:val="bottom"/>
            <w:vMerge w:val="restart"/>
          </w:tcPr>
          <w:p>
            <w:pPr>
              <w:ind w:left="80"/>
              <w:spacing w:after="0"/>
              <w:rPr>
                <w:sz w:val="20"/>
                <w:szCs w:val="20"/>
                <w:color w:val="auto"/>
              </w:rPr>
            </w:pPr>
            <w:r>
              <w:rPr>
                <w:rFonts w:ascii="宋体" w:cs="宋体" w:eastAsia="宋体" w:hAnsi="宋体"/>
                <w:sz w:val="21"/>
                <w:szCs w:val="21"/>
                <w:color w:val="auto"/>
                <w:w w:val="98"/>
              </w:rPr>
              <w:t>（</w:t>
            </w:r>
            <w:r>
              <w:rPr>
                <w:rFonts w:ascii="Times New Roman" w:cs="Times New Roman" w:eastAsia="Times New Roman" w:hAnsi="Times New Roman"/>
                <w:sz w:val="21"/>
                <w:szCs w:val="21"/>
                <w:color w:val="auto"/>
                <w:w w:val="98"/>
              </w:rPr>
              <w:t>4</w:t>
            </w:r>
            <w:r>
              <w:rPr>
                <w:rFonts w:ascii="宋体" w:cs="宋体" w:eastAsia="宋体" w:hAnsi="宋体"/>
                <w:sz w:val="21"/>
                <w:szCs w:val="21"/>
                <w:color w:val="auto"/>
                <w:w w:val="98"/>
              </w:rPr>
              <w:t>）进行日常现场监督检查，发现问题及时协助解决，</w:t>
            </w:r>
          </w:p>
        </w:tc>
        <w:tc>
          <w:tcPr>
            <w:tcW w:w="0" w:type="dxa"/>
            <w:vAlign w:val="bottom"/>
          </w:tcPr>
          <w:p>
            <w:pPr>
              <w:spacing w:after="0"/>
              <w:rPr>
                <w:sz w:val="1"/>
                <w:szCs w:val="1"/>
                <w:color w:val="auto"/>
              </w:rPr>
            </w:pPr>
          </w:p>
        </w:tc>
      </w:tr>
      <w:tr>
        <w:trPr>
          <w:trHeight w:val="32"/>
        </w:trPr>
        <w:tc>
          <w:tcPr>
            <w:tcW w:w="1220" w:type="dxa"/>
            <w:vAlign w:val="bottom"/>
            <w:tcBorders>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vMerge w:val="continue"/>
          </w:tcPr>
          <w:p>
            <w:pPr>
              <w:spacing w:after="0"/>
              <w:rPr>
                <w:sz w:val="2"/>
                <w:szCs w:val="2"/>
                <w:color w:val="auto"/>
              </w:rPr>
            </w:pPr>
          </w:p>
        </w:tc>
        <w:tc>
          <w:tcPr>
            <w:tcW w:w="0" w:type="dxa"/>
            <w:vAlign w:val="bottom"/>
          </w:tcPr>
          <w:p>
            <w:pPr>
              <w:spacing w:after="0"/>
              <w:rPr>
                <w:sz w:val="1"/>
                <w:szCs w:val="1"/>
                <w:color w:val="auto"/>
              </w:rPr>
            </w:pPr>
          </w:p>
        </w:tc>
      </w:tr>
      <w:tr>
        <w:trPr>
          <w:trHeight w:val="223"/>
        </w:trPr>
        <w:tc>
          <w:tcPr>
            <w:tcW w:w="1220" w:type="dxa"/>
            <w:vAlign w:val="bottom"/>
            <w:tcBorders>
              <w:right w:val="single" w:sz="8" w:color="auto"/>
            </w:tcBorders>
          </w:tcPr>
          <w:p>
            <w:pPr>
              <w:spacing w:after="0"/>
              <w:rPr>
                <w:sz w:val="19"/>
                <w:szCs w:val="19"/>
                <w:color w:val="auto"/>
              </w:rPr>
            </w:pPr>
          </w:p>
        </w:tc>
        <w:tc>
          <w:tcPr>
            <w:tcW w:w="1800" w:type="dxa"/>
            <w:vAlign w:val="bottom"/>
          </w:tcPr>
          <w:p>
            <w:pPr>
              <w:jc w:val="center"/>
              <w:spacing w:after="0" w:line="223" w:lineRule="exact"/>
              <w:rPr>
                <w:sz w:val="20"/>
                <w:szCs w:val="20"/>
                <w:color w:val="auto"/>
              </w:rPr>
            </w:pPr>
            <w:r>
              <w:rPr>
                <w:rFonts w:ascii="宋体" w:cs="宋体" w:eastAsia="宋体" w:hAnsi="宋体"/>
                <w:sz w:val="21"/>
                <w:szCs w:val="21"/>
                <w:color w:val="auto"/>
              </w:rPr>
              <w:t>王业军</w:t>
            </w:r>
          </w:p>
        </w:tc>
        <w:tc>
          <w:tcPr>
            <w:tcW w:w="120" w:type="dxa"/>
            <w:vAlign w:val="bottom"/>
            <w:tcBorders>
              <w:right w:val="single" w:sz="8" w:color="auto"/>
            </w:tcBorders>
          </w:tcPr>
          <w:p>
            <w:pPr>
              <w:spacing w:after="0"/>
              <w:rPr>
                <w:sz w:val="19"/>
                <w:szCs w:val="19"/>
                <w:color w:val="auto"/>
              </w:rPr>
            </w:pPr>
          </w:p>
        </w:tc>
        <w:tc>
          <w:tcPr>
            <w:tcW w:w="5160" w:type="dxa"/>
            <w:vAlign w:val="bottom"/>
            <w:vMerge w:val="continue"/>
          </w:tcPr>
          <w:p>
            <w:pPr>
              <w:spacing w:after="0"/>
              <w:rPr>
                <w:sz w:val="19"/>
                <w:szCs w:val="19"/>
                <w:color w:val="auto"/>
              </w:rPr>
            </w:pPr>
          </w:p>
        </w:tc>
        <w:tc>
          <w:tcPr>
            <w:tcW w:w="0" w:type="dxa"/>
            <w:vAlign w:val="bottom"/>
          </w:tcPr>
          <w:p>
            <w:pPr>
              <w:spacing w:after="0"/>
              <w:rPr>
                <w:sz w:val="1"/>
                <w:szCs w:val="1"/>
                <w:color w:val="auto"/>
              </w:rPr>
            </w:pPr>
          </w:p>
        </w:tc>
      </w:tr>
      <w:tr>
        <w:trPr>
          <w:trHeight w:val="40"/>
        </w:trPr>
        <w:tc>
          <w:tcPr>
            <w:tcW w:w="1220" w:type="dxa"/>
            <w:vAlign w:val="bottom"/>
            <w:tcBorders>
              <w:right w:val="single" w:sz="8" w:color="auto"/>
            </w:tcBorders>
            <w:vMerge w:val="restart"/>
          </w:tcPr>
          <w:p>
            <w:pPr>
              <w:jc w:val="center"/>
              <w:spacing w:after="0" w:line="209" w:lineRule="exact"/>
              <w:rPr>
                <w:sz w:val="20"/>
                <w:szCs w:val="20"/>
                <w:color w:val="auto"/>
              </w:rPr>
            </w:pPr>
            <w:r>
              <w:rPr>
                <w:rFonts w:ascii="宋体" w:cs="宋体" w:eastAsia="宋体" w:hAnsi="宋体"/>
                <w:sz w:val="21"/>
                <w:szCs w:val="21"/>
                <w:color w:val="auto"/>
              </w:rPr>
              <w:t>成员</w:t>
            </w:r>
          </w:p>
        </w:tc>
        <w:tc>
          <w:tcPr>
            <w:tcW w:w="180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5160" w:type="dxa"/>
            <w:vAlign w:val="bottom"/>
            <w:vMerge w:val="restart"/>
          </w:tcPr>
          <w:p>
            <w:pPr>
              <w:ind w:left="80"/>
              <w:spacing w:after="0" w:line="209" w:lineRule="exact"/>
              <w:rPr>
                <w:sz w:val="20"/>
                <w:szCs w:val="20"/>
                <w:color w:val="auto"/>
              </w:rPr>
            </w:pPr>
            <w:r>
              <w:rPr>
                <w:rFonts w:ascii="宋体" w:cs="宋体" w:eastAsia="宋体" w:hAnsi="宋体"/>
                <w:sz w:val="21"/>
                <w:szCs w:val="21"/>
                <w:color w:val="auto"/>
              </w:rPr>
              <w:t>遇到特别环境污染事件，有权责令停止排污或者消减排</w:t>
            </w:r>
          </w:p>
        </w:tc>
        <w:tc>
          <w:tcPr>
            <w:tcW w:w="0" w:type="dxa"/>
            <w:vAlign w:val="bottom"/>
          </w:tcPr>
          <w:p>
            <w:pPr>
              <w:spacing w:after="0"/>
              <w:rPr>
                <w:sz w:val="1"/>
                <w:szCs w:val="1"/>
                <w:color w:val="auto"/>
              </w:rPr>
            </w:pPr>
          </w:p>
        </w:tc>
      </w:tr>
      <w:tr>
        <w:trPr>
          <w:trHeight w:val="150"/>
        </w:trPr>
        <w:tc>
          <w:tcPr>
            <w:tcW w:w="1220" w:type="dxa"/>
            <w:vAlign w:val="bottom"/>
            <w:tcBorders>
              <w:right w:val="single" w:sz="8" w:color="auto"/>
            </w:tcBorders>
            <w:vMerge w:val="continue"/>
          </w:tcPr>
          <w:p>
            <w:pPr>
              <w:spacing w:after="0"/>
              <w:rPr>
                <w:sz w:val="13"/>
                <w:szCs w:val="13"/>
                <w:color w:val="auto"/>
              </w:rPr>
            </w:pPr>
          </w:p>
        </w:tc>
        <w:tc>
          <w:tcPr>
            <w:tcW w:w="1800" w:type="dxa"/>
            <w:vAlign w:val="bottom"/>
            <w:vMerge w:val="restart"/>
          </w:tcPr>
          <w:p>
            <w:pPr>
              <w:jc w:val="center"/>
              <w:spacing w:after="0" w:line="229" w:lineRule="exact"/>
              <w:rPr>
                <w:sz w:val="20"/>
                <w:szCs w:val="20"/>
                <w:color w:val="auto"/>
              </w:rPr>
            </w:pPr>
            <w:r>
              <w:rPr>
                <w:rFonts w:ascii="宋体" w:cs="宋体" w:eastAsia="宋体" w:hAnsi="宋体"/>
                <w:sz w:val="21"/>
                <w:szCs w:val="21"/>
                <w:color w:val="auto"/>
              </w:rPr>
              <w:t>姜作为</w:t>
            </w:r>
          </w:p>
        </w:tc>
        <w:tc>
          <w:tcPr>
            <w:tcW w:w="120" w:type="dxa"/>
            <w:vAlign w:val="bottom"/>
            <w:tcBorders>
              <w:right w:val="single" w:sz="8" w:color="auto"/>
            </w:tcBorders>
          </w:tcPr>
          <w:p>
            <w:pPr>
              <w:spacing w:after="0"/>
              <w:rPr>
                <w:sz w:val="13"/>
                <w:szCs w:val="13"/>
                <w:color w:val="auto"/>
              </w:rPr>
            </w:pPr>
          </w:p>
        </w:tc>
        <w:tc>
          <w:tcPr>
            <w:tcW w:w="5160" w:type="dxa"/>
            <w:vAlign w:val="bottom"/>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79"/>
        </w:trPr>
        <w:tc>
          <w:tcPr>
            <w:tcW w:w="1220" w:type="dxa"/>
            <w:vAlign w:val="bottom"/>
            <w:tcBorders>
              <w:right w:val="single" w:sz="8" w:color="auto"/>
            </w:tcBorders>
          </w:tcPr>
          <w:p>
            <w:pPr>
              <w:spacing w:after="0"/>
              <w:rPr>
                <w:sz w:val="6"/>
                <w:szCs w:val="6"/>
                <w:color w:val="auto"/>
              </w:rPr>
            </w:pPr>
          </w:p>
        </w:tc>
        <w:tc>
          <w:tcPr>
            <w:tcW w:w="1800" w:type="dxa"/>
            <w:vAlign w:val="bottom"/>
            <w:vMerge w:val="continue"/>
          </w:tcPr>
          <w:p>
            <w:pPr>
              <w:spacing w:after="0"/>
              <w:rPr>
                <w:sz w:val="6"/>
                <w:szCs w:val="6"/>
                <w:color w:val="auto"/>
              </w:rPr>
            </w:pPr>
          </w:p>
        </w:tc>
        <w:tc>
          <w:tcPr>
            <w:tcW w:w="120" w:type="dxa"/>
            <w:vAlign w:val="bottom"/>
            <w:tcBorders>
              <w:right w:val="single" w:sz="8" w:color="auto"/>
            </w:tcBorders>
          </w:tcPr>
          <w:p>
            <w:pPr>
              <w:spacing w:after="0"/>
              <w:rPr>
                <w:sz w:val="6"/>
                <w:szCs w:val="6"/>
                <w:color w:val="auto"/>
              </w:rPr>
            </w:pPr>
          </w:p>
        </w:tc>
        <w:tc>
          <w:tcPr>
            <w:tcW w:w="5160" w:type="dxa"/>
            <w:vAlign w:val="bottom"/>
            <w:vMerge w:val="restart"/>
          </w:tcPr>
          <w:p>
            <w:pPr>
              <w:ind w:left="80"/>
              <w:spacing w:after="0" w:line="239" w:lineRule="exact"/>
              <w:rPr>
                <w:sz w:val="20"/>
                <w:szCs w:val="20"/>
                <w:color w:val="auto"/>
              </w:rPr>
            </w:pPr>
            <w:r>
              <w:rPr>
                <w:rFonts w:ascii="宋体" w:cs="宋体" w:eastAsia="宋体" w:hAnsi="宋体"/>
                <w:sz w:val="21"/>
                <w:szCs w:val="21"/>
                <w:color w:val="auto"/>
              </w:rPr>
              <w:t>污量，并立即报告领导研究处理；</w:t>
            </w:r>
          </w:p>
        </w:tc>
        <w:tc>
          <w:tcPr>
            <w:tcW w:w="0" w:type="dxa"/>
            <w:vAlign w:val="bottom"/>
          </w:tcPr>
          <w:p>
            <w:pPr>
              <w:spacing w:after="0"/>
              <w:rPr>
                <w:sz w:val="1"/>
                <w:szCs w:val="1"/>
                <w:color w:val="auto"/>
              </w:rPr>
            </w:pPr>
          </w:p>
        </w:tc>
      </w:tr>
      <w:tr>
        <w:trPr>
          <w:trHeight w:val="32"/>
        </w:trPr>
        <w:tc>
          <w:tcPr>
            <w:tcW w:w="1220" w:type="dxa"/>
            <w:vAlign w:val="bottom"/>
            <w:tcBorders>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vMerge w:val="continue"/>
          </w:tcPr>
          <w:p>
            <w:pPr>
              <w:spacing w:after="0"/>
              <w:rPr>
                <w:sz w:val="2"/>
                <w:szCs w:val="2"/>
                <w:color w:val="auto"/>
              </w:rPr>
            </w:pPr>
          </w:p>
        </w:tc>
        <w:tc>
          <w:tcPr>
            <w:tcW w:w="0" w:type="dxa"/>
            <w:vAlign w:val="bottom"/>
          </w:tcPr>
          <w:p>
            <w:pPr>
              <w:spacing w:after="0"/>
              <w:rPr>
                <w:sz w:val="1"/>
                <w:szCs w:val="1"/>
                <w:color w:val="auto"/>
              </w:rPr>
            </w:pPr>
          </w:p>
        </w:tc>
      </w:tr>
      <w:tr>
        <w:trPr>
          <w:trHeight w:val="140"/>
        </w:trPr>
        <w:tc>
          <w:tcPr>
            <w:tcW w:w="1220" w:type="dxa"/>
            <w:vAlign w:val="bottom"/>
            <w:tcBorders>
              <w:right w:val="single" w:sz="8" w:color="auto"/>
            </w:tcBorders>
          </w:tcPr>
          <w:p>
            <w:pPr>
              <w:spacing w:after="0"/>
              <w:rPr>
                <w:sz w:val="12"/>
                <w:szCs w:val="12"/>
                <w:color w:val="auto"/>
              </w:rPr>
            </w:pPr>
          </w:p>
        </w:tc>
        <w:tc>
          <w:tcPr>
            <w:tcW w:w="1800" w:type="dxa"/>
            <w:vAlign w:val="bottom"/>
            <w:vMerge w:val="restart"/>
          </w:tcPr>
          <w:p>
            <w:pPr>
              <w:jc w:val="center"/>
              <w:spacing w:after="0" w:line="231" w:lineRule="exact"/>
              <w:rPr>
                <w:sz w:val="20"/>
                <w:szCs w:val="20"/>
                <w:color w:val="auto"/>
              </w:rPr>
            </w:pPr>
            <w:r>
              <w:rPr>
                <w:rFonts w:ascii="宋体" w:cs="宋体" w:eastAsia="宋体" w:hAnsi="宋体"/>
                <w:sz w:val="21"/>
                <w:szCs w:val="21"/>
                <w:color w:val="auto"/>
              </w:rPr>
              <w:t>于涛</w:t>
            </w:r>
          </w:p>
        </w:tc>
        <w:tc>
          <w:tcPr>
            <w:tcW w:w="120" w:type="dxa"/>
            <w:vAlign w:val="bottom"/>
            <w:tcBorders>
              <w:right w:val="single" w:sz="8" w:color="auto"/>
            </w:tcBorders>
          </w:tcPr>
          <w:p>
            <w:pPr>
              <w:spacing w:after="0"/>
              <w:rPr>
                <w:sz w:val="12"/>
                <w:szCs w:val="12"/>
                <w:color w:val="auto"/>
              </w:rPr>
            </w:pPr>
          </w:p>
        </w:tc>
        <w:tc>
          <w:tcPr>
            <w:tcW w:w="5160" w:type="dxa"/>
            <w:vAlign w:val="bottom"/>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91"/>
        </w:trPr>
        <w:tc>
          <w:tcPr>
            <w:tcW w:w="1220" w:type="dxa"/>
            <w:vAlign w:val="bottom"/>
            <w:tcBorders>
              <w:right w:val="single" w:sz="8" w:color="auto"/>
            </w:tcBorders>
          </w:tcPr>
          <w:p>
            <w:pPr>
              <w:spacing w:after="0"/>
              <w:rPr>
                <w:sz w:val="7"/>
                <w:szCs w:val="7"/>
                <w:color w:val="auto"/>
              </w:rPr>
            </w:pPr>
          </w:p>
        </w:tc>
        <w:tc>
          <w:tcPr>
            <w:tcW w:w="1800" w:type="dxa"/>
            <w:vAlign w:val="bottom"/>
            <w:vMerge w:val="continue"/>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5160" w:type="dxa"/>
            <w:vAlign w:val="bottom"/>
            <w:vMerge w:val="restart"/>
          </w:tcPr>
          <w:p>
            <w:pPr>
              <w:ind w:left="80"/>
              <w:spacing w:after="0"/>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5</w:t>
            </w:r>
            <w:r>
              <w:rPr>
                <w:rFonts w:ascii="宋体" w:cs="宋体" w:eastAsia="宋体" w:hAnsi="宋体"/>
                <w:sz w:val="21"/>
                <w:szCs w:val="21"/>
                <w:color w:val="auto"/>
              </w:rPr>
              <w:t>）指导部门的环境监督员工作，充分发挥部门环境</w:t>
            </w:r>
          </w:p>
        </w:tc>
        <w:tc>
          <w:tcPr>
            <w:tcW w:w="0" w:type="dxa"/>
            <w:vAlign w:val="bottom"/>
          </w:tcPr>
          <w:p>
            <w:pPr>
              <w:spacing w:after="0"/>
              <w:rPr>
                <w:sz w:val="1"/>
                <w:szCs w:val="1"/>
                <w:color w:val="auto"/>
              </w:rPr>
            </w:pPr>
          </w:p>
        </w:tc>
      </w:tr>
      <w:tr>
        <w:trPr>
          <w:trHeight w:val="32"/>
        </w:trPr>
        <w:tc>
          <w:tcPr>
            <w:tcW w:w="1220" w:type="dxa"/>
            <w:vAlign w:val="bottom"/>
            <w:tcBorders>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vMerge w:val="continue"/>
          </w:tcPr>
          <w:p>
            <w:pPr>
              <w:spacing w:after="0"/>
              <w:rPr>
                <w:sz w:val="2"/>
                <w:szCs w:val="2"/>
                <w:color w:val="auto"/>
              </w:rPr>
            </w:pPr>
          </w:p>
        </w:tc>
        <w:tc>
          <w:tcPr>
            <w:tcW w:w="0" w:type="dxa"/>
            <w:vAlign w:val="bottom"/>
          </w:tcPr>
          <w:p>
            <w:pPr>
              <w:spacing w:after="0"/>
              <w:rPr>
                <w:sz w:val="1"/>
                <w:szCs w:val="1"/>
                <w:color w:val="auto"/>
              </w:rPr>
            </w:pPr>
          </w:p>
        </w:tc>
      </w:tr>
      <w:tr>
        <w:trPr>
          <w:trHeight w:val="164"/>
        </w:trPr>
        <w:tc>
          <w:tcPr>
            <w:tcW w:w="1220" w:type="dxa"/>
            <w:vAlign w:val="bottom"/>
            <w:tcBorders>
              <w:right w:val="single" w:sz="8" w:color="auto"/>
            </w:tcBorders>
          </w:tcPr>
          <w:p>
            <w:pPr>
              <w:spacing w:after="0"/>
              <w:rPr>
                <w:sz w:val="14"/>
                <w:szCs w:val="14"/>
                <w:color w:val="auto"/>
              </w:rPr>
            </w:pPr>
          </w:p>
        </w:tc>
        <w:tc>
          <w:tcPr>
            <w:tcW w:w="1800" w:type="dxa"/>
            <w:vAlign w:val="bottom"/>
            <w:vMerge w:val="restart"/>
          </w:tcPr>
          <w:p>
            <w:pPr>
              <w:jc w:val="center"/>
              <w:spacing w:after="0" w:line="229" w:lineRule="exact"/>
              <w:rPr>
                <w:sz w:val="20"/>
                <w:szCs w:val="20"/>
                <w:color w:val="auto"/>
              </w:rPr>
            </w:pPr>
            <w:r>
              <w:rPr>
                <w:rFonts w:ascii="宋体" w:cs="宋体" w:eastAsia="宋体" w:hAnsi="宋体"/>
                <w:sz w:val="21"/>
                <w:szCs w:val="21"/>
                <w:color w:val="auto"/>
              </w:rPr>
              <w:t>马富</w:t>
            </w:r>
          </w:p>
        </w:tc>
        <w:tc>
          <w:tcPr>
            <w:tcW w:w="120" w:type="dxa"/>
            <w:vAlign w:val="bottom"/>
            <w:tcBorders>
              <w:right w:val="single" w:sz="8" w:color="auto"/>
            </w:tcBorders>
          </w:tcPr>
          <w:p>
            <w:pPr>
              <w:spacing w:after="0"/>
              <w:rPr>
                <w:sz w:val="14"/>
                <w:szCs w:val="14"/>
                <w:color w:val="auto"/>
              </w:rPr>
            </w:pPr>
          </w:p>
        </w:tc>
        <w:tc>
          <w:tcPr>
            <w:tcW w:w="5160" w:type="dxa"/>
            <w:vAlign w:val="bottom"/>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65"/>
        </w:trPr>
        <w:tc>
          <w:tcPr>
            <w:tcW w:w="1220" w:type="dxa"/>
            <w:vAlign w:val="bottom"/>
            <w:tcBorders>
              <w:right w:val="single" w:sz="8" w:color="auto"/>
            </w:tcBorders>
          </w:tcPr>
          <w:p>
            <w:pPr>
              <w:spacing w:after="0"/>
              <w:rPr>
                <w:sz w:val="5"/>
                <w:szCs w:val="5"/>
                <w:color w:val="auto"/>
              </w:rPr>
            </w:pPr>
          </w:p>
        </w:tc>
        <w:tc>
          <w:tcPr>
            <w:tcW w:w="1800" w:type="dxa"/>
            <w:vAlign w:val="bottom"/>
            <w:vMerge w:val="continue"/>
          </w:tcPr>
          <w:p>
            <w:pPr>
              <w:spacing w:after="0"/>
              <w:rPr>
                <w:sz w:val="5"/>
                <w:szCs w:val="5"/>
                <w:color w:val="auto"/>
              </w:rPr>
            </w:pPr>
          </w:p>
        </w:tc>
        <w:tc>
          <w:tcPr>
            <w:tcW w:w="120" w:type="dxa"/>
            <w:vAlign w:val="bottom"/>
            <w:tcBorders>
              <w:right w:val="single" w:sz="8" w:color="auto"/>
            </w:tcBorders>
          </w:tcPr>
          <w:p>
            <w:pPr>
              <w:spacing w:after="0"/>
              <w:rPr>
                <w:sz w:val="5"/>
                <w:szCs w:val="5"/>
                <w:color w:val="auto"/>
              </w:rPr>
            </w:pPr>
          </w:p>
        </w:tc>
        <w:tc>
          <w:tcPr>
            <w:tcW w:w="5160" w:type="dxa"/>
            <w:vAlign w:val="bottom"/>
            <w:vMerge w:val="restart"/>
          </w:tcPr>
          <w:p>
            <w:pPr>
              <w:ind w:left="80"/>
              <w:spacing w:after="0" w:line="237" w:lineRule="exact"/>
              <w:rPr>
                <w:sz w:val="20"/>
                <w:szCs w:val="20"/>
                <w:color w:val="auto"/>
              </w:rPr>
            </w:pPr>
            <w:r>
              <w:rPr>
                <w:rFonts w:ascii="宋体" w:cs="宋体" w:eastAsia="宋体" w:hAnsi="宋体"/>
                <w:sz w:val="21"/>
                <w:szCs w:val="21"/>
                <w:color w:val="auto"/>
              </w:rPr>
              <w:t>监督员作用；</w:t>
            </w:r>
          </w:p>
        </w:tc>
        <w:tc>
          <w:tcPr>
            <w:tcW w:w="0" w:type="dxa"/>
            <w:vAlign w:val="bottom"/>
          </w:tcPr>
          <w:p>
            <w:pPr>
              <w:spacing w:after="0"/>
              <w:rPr>
                <w:sz w:val="1"/>
                <w:szCs w:val="1"/>
                <w:color w:val="auto"/>
              </w:rPr>
            </w:pPr>
          </w:p>
        </w:tc>
      </w:tr>
      <w:tr>
        <w:trPr>
          <w:trHeight w:val="34"/>
        </w:trPr>
        <w:tc>
          <w:tcPr>
            <w:tcW w:w="1220" w:type="dxa"/>
            <w:vAlign w:val="bottom"/>
            <w:tcBorders>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vMerge w:val="continue"/>
          </w:tcPr>
          <w:p>
            <w:pPr>
              <w:spacing w:after="0"/>
              <w:rPr>
                <w:sz w:val="2"/>
                <w:szCs w:val="2"/>
                <w:color w:val="auto"/>
              </w:rPr>
            </w:pPr>
          </w:p>
        </w:tc>
        <w:tc>
          <w:tcPr>
            <w:tcW w:w="0" w:type="dxa"/>
            <w:vAlign w:val="bottom"/>
          </w:tcPr>
          <w:p>
            <w:pPr>
              <w:spacing w:after="0"/>
              <w:rPr>
                <w:sz w:val="1"/>
                <w:szCs w:val="1"/>
                <w:color w:val="auto"/>
              </w:rPr>
            </w:pPr>
          </w:p>
        </w:tc>
      </w:tr>
      <w:tr>
        <w:trPr>
          <w:trHeight w:val="118"/>
        </w:trPr>
        <w:tc>
          <w:tcPr>
            <w:tcW w:w="1220" w:type="dxa"/>
            <w:vAlign w:val="bottom"/>
            <w:tcBorders>
              <w:right w:val="single" w:sz="8" w:color="auto"/>
            </w:tcBorders>
          </w:tcPr>
          <w:p>
            <w:pPr>
              <w:spacing w:after="0"/>
              <w:rPr>
                <w:sz w:val="10"/>
                <w:szCs w:val="10"/>
                <w:color w:val="auto"/>
              </w:rPr>
            </w:pPr>
          </w:p>
        </w:tc>
        <w:tc>
          <w:tcPr>
            <w:tcW w:w="1800" w:type="dxa"/>
            <w:vAlign w:val="bottom"/>
            <w:vMerge w:val="restart"/>
          </w:tcPr>
          <w:p>
            <w:pPr>
              <w:jc w:val="center"/>
              <w:spacing w:after="0" w:line="229" w:lineRule="exact"/>
              <w:rPr>
                <w:sz w:val="20"/>
                <w:szCs w:val="20"/>
                <w:color w:val="auto"/>
              </w:rPr>
            </w:pPr>
            <w:r>
              <w:rPr>
                <w:rFonts w:ascii="宋体" w:cs="宋体" w:eastAsia="宋体" w:hAnsi="宋体"/>
                <w:sz w:val="21"/>
                <w:szCs w:val="21"/>
                <w:color w:val="auto"/>
              </w:rPr>
              <w:t>邱海波</w:t>
            </w:r>
          </w:p>
        </w:tc>
        <w:tc>
          <w:tcPr>
            <w:tcW w:w="120" w:type="dxa"/>
            <w:vAlign w:val="bottom"/>
            <w:tcBorders>
              <w:right w:val="single" w:sz="8" w:color="auto"/>
            </w:tcBorders>
          </w:tcPr>
          <w:p>
            <w:pPr>
              <w:spacing w:after="0"/>
              <w:rPr>
                <w:sz w:val="10"/>
                <w:szCs w:val="10"/>
                <w:color w:val="auto"/>
              </w:rPr>
            </w:pPr>
          </w:p>
        </w:tc>
        <w:tc>
          <w:tcPr>
            <w:tcW w:w="5160" w:type="dxa"/>
            <w:vAlign w:val="bottom"/>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11"/>
        </w:trPr>
        <w:tc>
          <w:tcPr>
            <w:tcW w:w="1220" w:type="dxa"/>
            <w:vAlign w:val="bottom"/>
            <w:tcBorders>
              <w:right w:val="single" w:sz="8" w:color="auto"/>
            </w:tcBorders>
          </w:tcPr>
          <w:p>
            <w:pPr>
              <w:spacing w:after="0"/>
              <w:rPr>
                <w:sz w:val="9"/>
                <w:szCs w:val="9"/>
                <w:color w:val="auto"/>
              </w:rPr>
            </w:pPr>
          </w:p>
        </w:tc>
        <w:tc>
          <w:tcPr>
            <w:tcW w:w="1800" w:type="dxa"/>
            <w:vAlign w:val="bottom"/>
            <w:vMerge w:val="continue"/>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5160" w:type="dxa"/>
            <w:vAlign w:val="bottom"/>
            <w:vMerge w:val="restart"/>
          </w:tcPr>
          <w:p>
            <w:pPr>
              <w:ind w:left="80"/>
              <w:spacing w:after="0"/>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6</w:t>
            </w:r>
            <w:r>
              <w:rPr>
                <w:rFonts w:ascii="宋体" w:cs="宋体" w:eastAsia="宋体" w:hAnsi="宋体"/>
                <w:sz w:val="21"/>
                <w:szCs w:val="21"/>
                <w:color w:val="auto"/>
              </w:rPr>
              <w:t>）办理建设项目环境影响评价事项和“三同时”相</w:t>
            </w:r>
          </w:p>
        </w:tc>
        <w:tc>
          <w:tcPr>
            <w:tcW w:w="0" w:type="dxa"/>
            <w:vAlign w:val="bottom"/>
          </w:tcPr>
          <w:p>
            <w:pPr>
              <w:spacing w:after="0"/>
              <w:rPr>
                <w:sz w:val="1"/>
                <w:szCs w:val="1"/>
                <w:color w:val="auto"/>
              </w:rPr>
            </w:pPr>
          </w:p>
        </w:tc>
      </w:tr>
      <w:tr>
        <w:trPr>
          <w:trHeight w:val="32"/>
        </w:trPr>
        <w:tc>
          <w:tcPr>
            <w:tcW w:w="1220" w:type="dxa"/>
            <w:vAlign w:val="bottom"/>
            <w:tcBorders>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vMerge w:val="continue"/>
          </w:tcPr>
          <w:p>
            <w:pPr>
              <w:spacing w:after="0"/>
              <w:rPr>
                <w:sz w:val="2"/>
                <w:szCs w:val="2"/>
                <w:color w:val="auto"/>
              </w:rPr>
            </w:pPr>
          </w:p>
        </w:tc>
        <w:tc>
          <w:tcPr>
            <w:tcW w:w="0" w:type="dxa"/>
            <w:vAlign w:val="bottom"/>
          </w:tcPr>
          <w:p>
            <w:pPr>
              <w:spacing w:after="0"/>
              <w:rPr>
                <w:sz w:val="1"/>
                <w:szCs w:val="1"/>
                <w:color w:val="auto"/>
              </w:rPr>
            </w:pPr>
          </w:p>
        </w:tc>
      </w:tr>
      <w:tr>
        <w:trPr>
          <w:trHeight w:val="145"/>
        </w:trPr>
        <w:tc>
          <w:tcPr>
            <w:tcW w:w="1220" w:type="dxa"/>
            <w:vAlign w:val="bottom"/>
            <w:tcBorders>
              <w:right w:val="single" w:sz="8" w:color="auto"/>
            </w:tcBorders>
          </w:tcPr>
          <w:p>
            <w:pPr>
              <w:spacing w:after="0"/>
              <w:rPr>
                <w:sz w:val="12"/>
                <w:szCs w:val="12"/>
                <w:color w:val="auto"/>
              </w:rPr>
            </w:pPr>
          </w:p>
        </w:tc>
        <w:tc>
          <w:tcPr>
            <w:tcW w:w="1800" w:type="dxa"/>
            <w:vAlign w:val="bottom"/>
            <w:vMerge w:val="restart"/>
          </w:tcPr>
          <w:p>
            <w:pPr>
              <w:jc w:val="center"/>
              <w:spacing w:after="0" w:line="229" w:lineRule="exact"/>
              <w:rPr>
                <w:sz w:val="20"/>
                <w:szCs w:val="20"/>
                <w:color w:val="auto"/>
              </w:rPr>
            </w:pPr>
            <w:r>
              <w:rPr>
                <w:rFonts w:ascii="宋体" w:cs="宋体" w:eastAsia="宋体" w:hAnsi="宋体"/>
                <w:sz w:val="21"/>
                <w:szCs w:val="21"/>
                <w:color w:val="auto"/>
              </w:rPr>
              <w:t>陈贵谦</w:t>
            </w:r>
          </w:p>
        </w:tc>
        <w:tc>
          <w:tcPr>
            <w:tcW w:w="120" w:type="dxa"/>
            <w:vAlign w:val="bottom"/>
            <w:tcBorders>
              <w:right w:val="single" w:sz="8" w:color="auto"/>
            </w:tcBorders>
          </w:tcPr>
          <w:p>
            <w:pPr>
              <w:spacing w:after="0"/>
              <w:rPr>
                <w:sz w:val="12"/>
                <w:szCs w:val="12"/>
                <w:color w:val="auto"/>
              </w:rPr>
            </w:pPr>
          </w:p>
        </w:tc>
        <w:tc>
          <w:tcPr>
            <w:tcW w:w="5160" w:type="dxa"/>
            <w:vAlign w:val="bottom"/>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84"/>
        </w:trPr>
        <w:tc>
          <w:tcPr>
            <w:tcW w:w="1220" w:type="dxa"/>
            <w:vAlign w:val="bottom"/>
            <w:tcBorders>
              <w:right w:val="single" w:sz="8" w:color="auto"/>
            </w:tcBorders>
          </w:tcPr>
          <w:p>
            <w:pPr>
              <w:spacing w:after="0"/>
              <w:rPr>
                <w:sz w:val="7"/>
                <w:szCs w:val="7"/>
                <w:color w:val="auto"/>
              </w:rPr>
            </w:pPr>
          </w:p>
        </w:tc>
        <w:tc>
          <w:tcPr>
            <w:tcW w:w="1800" w:type="dxa"/>
            <w:vAlign w:val="bottom"/>
            <w:vMerge w:val="continue"/>
          </w:tcPr>
          <w:p>
            <w:pPr>
              <w:spacing w:after="0"/>
              <w:rPr>
                <w:sz w:val="7"/>
                <w:szCs w:val="7"/>
                <w:color w:val="auto"/>
              </w:rPr>
            </w:pPr>
          </w:p>
        </w:tc>
        <w:tc>
          <w:tcPr>
            <w:tcW w:w="120" w:type="dxa"/>
            <w:vAlign w:val="bottom"/>
            <w:tcBorders>
              <w:right w:val="single" w:sz="8" w:color="auto"/>
            </w:tcBorders>
          </w:tcPr>
          <w:p>
            <w:pPr>
              <w:spacing w:after="0"/>
              <w:rPr>
                <w:sz w:val="7"/>
                <w:szCs w:val="7"/>
                <w:color w:val="auto"/>
              </w:rPr>
            </w:pPr>
          </w:p>
        </w:tc>
        <w:tc>
          <w:tcPr>
            <w:tcW w:w="5160" w:type="dxa"/>
            <w:vAlign w:val="bottom"/>
            <w:vMerge w:val="restart"/>
          </w:tcPr>
          <w:p>
            <w:pPr>
              <w:ind w:left="80"/>
              <w:spacing w:after="0" w:line="237" w:lineRule="exact"/>
              <w:rPr>
                <w:sz w:val="20"/>
                <w:szCs w:val="20"/>
                <w:color w:val="auto"/>
              </w:rPr>
            </w:pPr>
            <w:r>
              <w:rPr>
                <w:rFonts w:ascii="宋体" w:cs="宋体" w:eastAsia="宋体" w:hAnsi="宋体"/>
                <w:sz w:val="21"/>
                <w:szCs w:val="21"/>
                <w:color w:val="auto"/>
              </w:rPr>
              <w:t>关事项，参加环保设施验收和试运行工作；</w:t>
            </w:r>
          </w:p>
        </w:tc>
        <w:tc>
          <w:tcPr>
            <w:tcW w:w="0" w:type="dxa"/>
            <w:vAlign w:val="bottom"/>
          </w:tcPr>
          <w:p>
            <w:pPr>
              <w:spacing w:after="0"/>
              <w:rPr>
                <w:sz w:val="1"/>
                <w:szCs w:val="1"/>
                <w:color w:val="auto"/>
              </w:rPr>
            </w:pPr>
          </w:p>
        </w:tc>
      </w:tr>
      <w:tr>
        <w:trPr>
          <w:trHeight w:val="34"/>
        </w:trPr>
        <w:tc>
          <w:tcPr>
            <w:tcW w:w="1220" w:type="dxa"/>
            <w:vAlign w:val="bottom"/>
            <w:tcBorders>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vMerge w:val="continue"/>
          </w:tcPr>
          <w:p>
            <w:pPr>
              <w:spacing w:after="0"/>
              <w:rPr>
                <w:sz w:val="2"/>
                <w:szCs w:val="2"/>
                <w:color w:val="auto"/>
              </w:rPr>
            </w:pPr>
          </w:p>
        </w:tc>
        <w:tc>
          <w:tcPr>
            <w:tcW w:w="0" w:type="dxa"/>
            <w:vAlign w:val="bottom"/>
          </w:tcPr>
          <w:p>
            <w:pPr>
              <w:spacing w:after="0"/>
              <w:rPr>
                <w:sz w:val="1"/>
                <w:szCs w:val="1"/>
                <w:color w:val="auto"/>
              </w:rPr>
            </w:pPr>
          </w:p>
        </w:tc>
      </w:tr>
      <w:tr>
        <w:trPr>
          <w:trHeight w:val="99"/>
        </w:trPr>
        <w:tc>
          <w:tcPr>
            <w:tcW w:w="1220" w:type="dxa"/>
            <w:vAlign w:val="bottom"/>
            <w:tcBorders>
              <w:right w:val="single" w:sz="8" w:color="auto"/>
            </w:tcBorders>
          </w:tcPr>
          <w:p>
            <w:pPr>
              <w:spacing w:after="0"/>
              <w:rPr>
                <w:sz w:val="8"/>
                <w:szCs w:val="8"/>
                <w:color w:val="auto"/>
              </w:rPr>
            </w:pPr>
          </w:p>
        </w:tc>
        <w:tc>
          <w:tcPr>
            <w:tcW w:w="1800" w:type="dxa"/>
            <w:vAlign w:val="bottom"/>
            <w:vMerge w:val="restart"/>
          </w:tcPr>
          <w:p>
            <w:pPr>
              <w:jc w:val="center"/>
              <w:spacing w:after="0" w:line="229" w:lineRule="exact"/>
              <w:rPr>
                <w:sz w:val="20"/>
                <w:szCs w:val="20"/>
                <w:color w:val="auto"/>
              </w:rPr>
            </w:pPr>
            <w:r>
              <w:rPr>
                <w:rFonts w:ascii="宋体" w:cs="宋体" w:eastAsia="宋体" w:hAnsi="宋体"/>
                <w:sz w:val="21"/>
                <w:szCs w:val="21"/>
                <w:color w:val="auto"/>
              </w:rPr>
              <w:t>杨敬群</w:t>
            </w:r>
          </w:p>
        </w:tc>
        <w:tc>
          <w:tcPr>
            <w:tcW w:w="120" w:type="dxa"/>
            <w:vAlign w:val="bottom"/>
            <w:tcBorders>
              <w:right w:val="single" w:sz="8" w:color="auto"/>
            </w:tcBorders>
          </w:tcPr>
          <w:p>
            <w:pPr>
              <w:spacing w:after="0"/>
              <w:rPr>
                <w:sz w:val="8"/>
                <w:szCs w:val="8"/>
                <w:color w:val="auto"/>
              </w:rPr>
            </w:pPr>
          </w:p>
        </w:tc>
        <w:tc>
          <w:tcPr>
            <w:tcW w:w="5160" w:type="dxa"/>
            <w:vAlign w:val="bottom"/>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30"/>
        </w:trPr>
        <w:tc>
          <w:tcPr>
            <w:tcW w:w="1220" w:type="dxa"/>
            <w:vAlign w:val="bottom"/>
            <w:tcBorders>
              <w:right w:val="single" w:sz="8" w:color="auto"/>
            </w:tcBorders>
          </w:tcPr>
          <w:p>
            <w:pPr>
              <w:spacing w:after="0"/>
              <w:rPr>
                <w:sz w:val="11"/>
                <w:szCs w:val="11"/>
                <w:color w:val="auto"/>
              </w:rPr>
            </w:pPr>
          </w:p>
        </w:tc>
        <w:tc>
          <w:tcPr>
            <w:tcW w:w="1800" w:type="dxa"/>
            <w:vAlign w:val="bottom"/>
            <w:vMerge w:val="continue"/>
          </w:tcPr>
          <w:p>
            <w:pPr>
              <w:spacing w:after="0"/>
              <w:rPr>
                <w:sz w:val="11"/>
                <w:szCs w:val="11"/>
                <w:color w:val="auto"/>
              </w:rPr>
            </w:pPr>
          </w:p>
        </w:tc>
        <w:tc>
          <w:tcPr>
            <w:tcW w:w="120" w:type="dxa"/>
            <w:vAlign w:val="bottom"/>
            <w:tcBorders>
              <w:right w:val="single" w:sz="8" w:color="auto"/>
            </w:tcBorders>
          </w:tcPr>
          <w:p>
            <w:pPr>
              <w:spacing w:after="0"/>
              <w:rPr>
                <w:sz w:val="11"/>
                <w:szCs w:val="11"/>
                <w:color w:val="auto"/>
              </w:rPr>
            </w:pPr>
          </w:p>
        </w:tc>
        <w:tc>
          <w:tcPr>
            <w:tcW w:w="5160" w:type="dxa"/>
            <w:vAlign w:val="bottom"/>
            <w:vMerge w:val="restart"/>
          </w:tcPr>
          <w:p>
            <w:pPr>
              <w:ind w:left="80"/>
              <w:spacing w:after="0"/>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7</w:t>
            </w:r>
            <w:r>
              <w:rPr>
                <w:rFonts w:ascii="宋体" w:cs="宋体" w:eastAsia="宋体" w:hAnsi="宋体"/>
                <w:sz w:val="21"/>
                <w:szCs w:val="21"/>
                <w:color w:val="auto"/>
              </w:rPr>
              <w:t>）参加环境污染事件调查和处理工作；</w:t>
            </w:r>
          </w:p>
        </w:tc>
        <w:tc>
          <w:tcPr>
            <w:tcW w:w="0" w:type="dxa"/>
            <w:vAlign w:val="bottom"/>
          </w:tcPr>
          <w:p>
            <w:pPr>
              <w:spacing w:after="0"/>
              <w:rPr>
                <w:sz w:val="1"/>
                <w:szCs w:val="1"/>
                <w:color w:val="auto"/>
              </w:rPr>
            </w:pPr>
          </w:p>
        </w:tc>
      </w:tr>
      <w:tr>
        <w:trPr>
          <w:trHeight w:val="34"/>
        </w:trPr>
        <w:tc>
          <w:tcPr>
            <w:tcW w:w="1220" w:type="dxa"/>
            <w:vAlign w:val="bottom"/>
            <w:tcBorders>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vMerge w:val="continue"/>
          </w:tcPr>
          <w:p>
            <w:pPr>
              <w:spacing w:after="0"/>
              <w:rPr>
                <w:sz w:val="2"/>
                <w:szCs w:val="2"/>
                <w:color w:val="auto"/>
              </w:rPr>
            </w:pPr>
          </w:p>
        </w:tc>
        <w:tc>
          <w:tcPr>
            <w:tcW w:w="0" w:type="dxa"/>
            <w:vAlign w:val="bottom"/>
          </w:tcPr>
          <w:p>
            <w:pPr>
              <w:spacing w:after="0"/>
              <w:rPr>
                <w:sz w:val="1"/>
                <w:szCs w:val="1"/>
                <w:color w:val="auto"/>
              </w:rPr>
            </w:pPr>
          </w:p>
        </w:tc>
      </w:tr>
      <w:tr>
        <w:trPr>
          <w:trHeight w:val="113"/>
        </w:trPr>
        <w:tc>
          <w:tcPr>
            <w:tcW w:w="1220" w:type="dxa"/>
            <w:vAlign w:val="bottom"/>
            <w:tcBorders>
              <w:right w:val="single" w:sz="8" w:color="auto"/>
            </w:tcBorders>
          </w:tcPr>
          <w:p>
            <w:pPr>
              <w:spacing w:after="0"/>
              <w:rPr>
                <w:sz w:val="9"/>
                <w:szCs w:val="9"/>
                <w:color w:val="auto"/>
              </w:rPr>
            </w:pPr>
          </w:p>
        </w:tc>
        <w:tc>
          <w:tcPr>
            <w:tcW w:w="1800" w:type="dxa"/>
            <w:vAlign w:val="bottom"/>
            <w:vMerge w:val="restart"/>
          </w:tcPr>
          <w:p>
            <w:pPr>
              <w:jc w:val="center"/>
              <w:spacing w:after="0" w:line="229" w:lineRule="exact"/>
              <w:rPr>
                <w:sz w:val="20"/>
                <w:szCs w:val="20"/>
                <w:color w:val="auto"/>
              </w:rPr>
            </w:pPr>
            <w:r>
              <w:rPr>
                <w:rFonts w:ascii="宋体" w:cs="宋体" w:eastAsia="宋体" w:hAnsi="宋体"/>
                <w:sz w:val="21"/>
                <w:szCs w:val="21"/>
                <w:color w:val="auto"/>
              </w:rPr>
              <w:t>邓书章</w:t>
            </w:r>
          </w:p>
        </w:tc>
        <w:tc>
          <w:tcPr>
            <w:tcW w:w="120" w:type="dxa"/>
            <w:vAlign w:val="bottom"/>
            <w:tcBorders>
              <w:right w:val="single" w:sz="8" w:color="auto"/>
            </w:tcBorders>
          </w:tcPr>
          <w:p>
            <w:pPr>
              <w:spacing w:after="0"/>
              <w:rPr>
                <w:sz w:val="9"/>
                <w:szCs w:val="9"/>
                <w:color w:val="auto"/>
              </w:rPr>
            </w:pPr>
          </w:p>
        </w:tc>
        <w:tc>
          <w:tcPr>
            <w:tcW w:w="5160" w:type="dxa"/>
            <w:vAlign w:val="bottom"/>
            <w:vMerge w:val="continue"/>
          </w:tcPr>
          <w:p>
            <w:pPr>
              <w:spacing w:after="0"/>
              <w:rPr>
                <w:sz w:val="9"/>
                <w:szCs w:val="9"/>
                <w:color w:val="auto"/>
              </w:rPr>
            </w:pPr>
          </w:p>
        </w:tc>
        <w:tc>
          <w:tcPr>
            <w:tcW w:w="0" w:type="dxa"/>
            <w:vAlign w:val="bottom"/>
          </w:tcPr>
          <w:p>
            <w:pPr>
              <w:spacing w:after="0"/>
              <w:rPr>
                <w:sz w:val="1"/>
                <w:szCs w:val="1"/>
                <w:color w:val="auto"/>
              </w:rPr>
            </w:pPr>
          </w:p>
        </w:tc>
      </w:tr>
      <w:tr>
        <w:trPr>
          <w:trHeight w:val="116"/>
        </w:trPr>
        <w:tc>
          <w:tcPr>
            <w:tcW w:w="1220" w:type="dxa"/>
            <w:vAlign w:val="bottom"/>
            <w:tcBorders>
              <w:right w:val="single" w:sz="8" w:color="auto"/>
            </w:tcBorders>
          </w:tcPr>
          <w:p>
            <w:pPr>
              <w:spacing w:after="0"/>
              <w:rPr>
                <w:sz w:val="10"/>
                <w:szCs w:val="10"/>
                <w:color w:val="auto"/>
              </w:rPr>
            </w:pPr>
          </w:p>
        </w:tc>
        <w:tc>
          <w:tcPr>
            <w:tcW w:w="1800" w:type="dxa"/>
            <w:vAlign w:val="bottom"/>
            <w:vMerge w:val="continue"/>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5160" w:type="dxa"/>
            <w:vAlign w:val="bottom"/>
            <w:vMerge w:val="restart"/>
          </w:tcPr>
          <w:p>
            <w:pPr>
              <w:ind w:left="80"/>
              <w:spacing w:after="0"/>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8</w:t>
            </w:r>
            <w:r>
              <w:rPr>
                <w:rFonts w:ascii="宋体" w:cs="宋体" w:eastAsia="宋体" w:hAnsi="宋体"/>
                <w:sz w:val="21"/>
                <w:szCs w:val="21"/>
                <w:color w:val="auto"/>
              </w:rPr>
              <w:t>）研究解决本企业环境污染防治技术；</w:t>
            </w:r>
          </w:p>
        </w:tc>
        <w:tc>
          <w:tcPr>
            <w:tcW w:w="0" w:type="dxa"/>
            <w:vAlign w:val="bottom"/>
          </w:tcPr>
          <w:p>
            <w:pPr>
              <w:spacing w:after="0"/>
              <w:rPr>
                <w:sz w:val="1"/>
                <w:szCs w:val="1"/>
                <w:color w:val="auto"/>
              </w:rPr>
            </w:pPr>
          </w:p>
        </w:tc>
      </w:tr>
      <w:tr>
        <w:trPr>
          <w:trHeight w:val="32"/>
        </w:trPr>
        <w:tc>
          <w:tcPr>
            <w:tcW w:w="1220" w:type="dxa"/>
            <w:vAlign w:val="bottom"/>
            <w:tcBorders>
              <w:right w:val="single" w:sz="8" w:color="auto"/>
            </w:tcBorders>
          </w:tcPr>
          <w:p>
            <w:pPr>
              <w:spacing w:after="0"/>
              <w:rPr>
                <w:sz w:val="2"/>
                <w:szCs w:val="2"/>
                <w:color w:val="auto"/>
              </w:rPr>
            </w:pPr>
          </w:p>
        </w:tc>
        <w:tc>
          <w:tcPr>
            <w:tcW w:w="1800" w:type="dxa"/>
            <w:vAlign w:val="bottom"/>
            <w:tcBorders>
              <w:bottom w:val="single" w:sz="8" w:color="auto"/>
            </w:tcBorders>
          </w:tcPr>
          <w:p>
            <w:pPr>
              <w:spacing w:after="0"/>
              <w:rPr>
                <w:sz w:val="2"/>
                <w:szCs w:val="2"/>
                <w:color w:val="auto"/>
              </w:rPr>
            </w:pPr>
          </w:p>
        </w:tc>
        <w:tc>
          <w:tcPr>
            <w:tcW w:w="120" w:type="dxa"/>
            <w:vAlign w:val="bottom"/>
            <w:tcBorders>
              <w:bottom w:val="single" w:sz="8" w:color="auto"/>
              <w:right w:val="single" w:sz="8" w:color="auto"/>
            </w:tcBorders>
          </w:tcPr>
          <w:p>
            <w:pPr>
              <w:spacing w:after="0"/>
              <w:rPr>
                <w:sz w:val="2"/>
                <w:szCs w:val="2"/>
                <w:color w:val="auto"/>
              </w:rPr>
            </w:pPr>
          </w:p>
        </w:tc>
        <w:tc>
          <w:tcPr>
            <w:tcW w:w="5160" w:type="dxa"/>
            <w:vAlign w:val="bottom"/>
            <w:vMerge w:val="continue"/>
          </w:tcPr>
          <w:p>
            <w:pPr>
              <w:spacing w:after="0"/>
              <w:rPr>
                <w:sz w:val="2"/>
                <w:szCs w:val="2"/>
                <w:color w:val="auto"/>
              </w:rPr>
            </w:pPr>
          </w:p>
        </w:tc>
        <w:tc>
          <w:tcPr>
            <w:tcW w:w="0" w:type="dxa"/>
            <w:vAlign w:val="bottom"/>
          </w:tcPr>
          <w:p>
            <w:pPr>
              <w:spacing w:after="0"/>
              <w:rPr>
                <w:sz w:val="1"/>
                <w:szCs w:val="1"/>
                <w:color w:val="auto"/>
              </w:rPr>
            </w:pPr>
          </w:p>
        </w:tc>
      </w:tr>
      <w:tr>
        <w:trPr>
          <w:trHeight w:val="104"/>
        </w:trPr>
        <w:tc>
          <w:tcPr>
            <w:tcW w:w="1220" w:type="dxa"/>
            <w:vAlign w:val="bottom"/>
            <w:tcBorders>
              <w:right w:val="single" w:sz="8" w:color="auto"/>
            </w:tcBorders>
          </w:tcPr>
          <w:p>
            <w:pPr>
              <w:spacing w:after="0"/>
              <w:rPr>
                <w:sz w:val="9"/>
                <w:szCs w:val="9"/>
                <w:color w:val="auto"/>
              </w:rPr>
            </w:pPr>
          </w:p>
        </w:tc>
        <w:tc>
          <w:tcPr>
            <w:tcW w:w="1800" w:type="dxa"/>
            <w:vAlign w:val="bottom"/>
            <w:vMerge w:val="restart"/>
          </w:tcPr>
          <w:p>
            <w:pPr>
              <w:jc w:val="center"/>
              <w:spacing w:after="0"/>
              <w:rPr>
                <w:sz w:val="20"/>
                <w:szCs w:val="20"/>
                <w:color w:val="auto"/>
              </w:rPr>
            </w:pPr>
            <w:r>
              <w:rPr>
                <w:rFonts w:ascii="宋体" w:cs="宋体" w:eastAsia="宋体" w:hAnsi="宋体"/>
                <w:sz w:val="21"/>
                <w:szCs w:val="21"/>
                <w:color w:val="auto"/>
              </w:rPr>
              <w:t>陈允涛</w:t>
            </w:r>
          </w:p>
        </w:tc>
        <w:tc>
          <w:tcPr>
            <w:tcW w:w="120" w:type="dxa"/>
            <w:vAlign w:val="bottom"/>
            <w:tcBorders>
              <w:right w:val="single" w:sz="8" w:color="auto"/>
            </w:tcBorders>
          </w:tcPr>
          <w:p>
            <w:pPr>
              <w:spacing w:after="0"/>
              <w:rPr>
                <w:sz w:val="9"/>
                <w:szCs w:val="9"/>
                <w:color w:val="auto"/>
              </w:rPr>
            </w:pPr>
          </w:p>
        </w:tc>
        <w:tc>
          <w:tcPr>
            <w:tcW w:w="5160" w:type="dxa"/>
            <w:vAlign w:val="bottom"/>
            <w:vMerge w:val="continue"/>
          </w:tcPr>
          <w:p>
            <w:pPr>
              <w:spacing w:after="0"/>
              <w:rPr>
                <w:sz w:val="9"/>
                <w:szCs w:val="9"/>
                <w:color w:val="auto"/>
              </w:rPr>
            </w:pPr>
          </w:p>
        </w:tc>
        <w:tc>
          <w:tcPr>
            <w:tcW w:w="0" w:type="dxa"/>
            <w:vAlign w:val="bottom"/>
          </w:tcPr>
          <w:p>
            <w:pPr>
              <w:spacing w:after="0"/>
              <w:rPr>
                <w:sz w:val="1"/>
                <w:szCs w:val="1"/>
                <w:color w:val="auto"/>
              </w:rPr>
            </w:pPr>
          </w:p>
        </w:tc>
      </w:tr>
      <w:tr>
        <w:trPr>
          <w:trHeight w:val="291"/>
        </w:trPr>
        <w:tc>
          <w:tcPr>
            <w:tcW w:w="1220" w:type="dxa"/>
            <w:vAlign w:val="bottom"/>
            <w:tcBorders>
              <w:bottom w:val="single" w:sz="8" w:color="auto"/>
              <w:right w:val="single" w:sz="8" w:color="auto"/>
            </w:tcBorders>
          </w:tcPr>
          <w:p>
            <w:pPr>
              <w:spacing w:after="0"/>
              <w:rPr>
                <w:sz w:val="24"/>
                <w:szCs w:val="24"/>
                <w:color w:val="auto"/>
              </w:rPr>
            </w:pPr>
          </w:p>
        </w:tc>
        <w:tc>
          <w:tcPr>
            <w:tcW w:w="1800" w:type="dxa"/>
            <w:vAlign w:val="bottom"/>
            <w:tcBorders>
              <w:bottom w:val="single" w:sz="8" w:color="auto"/>
            </w:tcBorders>
            <w:vMerge w:val="continue"/>
          </w:tcPr>
          <w:p>
            <w:pPr>
              <w:spacing w:after="0"/>
              <w:rPr>
                <w:sz w:val="24"/>
                <w:szCs w:val="24"/>
                <w:color w:val="auto"/>
              </w:rPr>
            </w:pPr>
          </w:p>
        </w:tc>
        <w:tc>
          <w:tcPr>
            <w:tcW w:w="120" w:type="dxa"/>
            <w:vAlign w:val="bottom"/>
            <w:tcBorders>
              <w:bottom w:val="single" w:sz="8" w:color="auto"/>
              <w:right w:val="single" w:sz="8" w:color="auto"/>
            </w:tcBorders>
          </w:tcPr>
          <w:p>
            <w:pPr>
              <w:spacing w:after="0"/>
              <w:rPr>
                <w:sz w:val="24"/>
                <w:szCs w:val="24"/>
                <w:color w:val="auto"/>
              </w:rPr>
            </w:pPr>
          </w:p>
        </w:tc>
        <w:tc>
          <w:tcPr>
            <w:tcW w:w="5160" w:type="dxa"/>
            <w:vAlign w:val="bottom"/>
            <w:tcBorders>
              <w:bottom w:val="single" w:sz="8" w:color="auto"/>
            </w:tcBorders>
          </w:tcPr>
          <w:p>
            <w:pPr>
              <w:ind w:left="80"/>
              <w:spacing w:after="0"/>
              <w:rPr>
                <w:sz w:val="20"/>
                <w:szCs w:val="20"/>
                <w:color w:val="auto"/>
              </w:rPr>
            </w:pPr>
            <w:r>
              <w:rPr>
                <w:rFonts w:ascii="宋体" w:cs="宋体" w:eastAsia="宋体" w:hAnsi="宋体"/>
                <w:sz w:val="21"/>
                <w:szCs w:val="21"/>
                <w:color w:val="auto"/>
              </w:rPr>
              <w:t>（</w:t>
            </w:r>
            <w:r>
              <w:rPr>
                <w:rFonts w:ascii="Times New Roman" w:cs="Times New Roman" w:eastAsia="Times New Roman" w:hAnsi="Times New Roman"/>
                <w:sz w:val="21"/>
                <w:szCs w:val="21"/>
                <w:color w:val="auto"/>
              </w:rPr>
              <w:t>9</w:t>
            </w:r>
            <w:r>
              <w:rPr>
                <w:rFonts w:ascii="宋体" w:cs="宋体" w:eastAsia="宋体" w:hAnsi="宋体"/>
                <w:sz w:val="21"/>
                <w:szCs w:val="21"/>
                <w:color w:val="auto"/>
              </w:rPr>
              <w:t>）负责公司应办理的所有环境保护事项。</w:t>
            </w:r>
          </w:p>
        </w:tc>
        <w:tc>
          <w:tcPr>
            <w:tcW w:w="0" w:type="dxa"/>
            <w:vAlign w:val="bottom"/>
          </w:tcPr>
          <w:p>
            <w:pPr>
              <w:spacing w:after="0"/>
              <w:rPr>
                <w:sz w:val="1"/>
                <w:szCs w:val="1"/>
                <w:color w:val="auto"/>
              </w:rPr>
            </w:pPr>
          </w:p>
        </w:tc>
      </w:tr>
    </w:tbl>
    <w:p>
      <w:pPr>
        <w:spacing w:after="0" w:line="143"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755650</wp:posOffset>
                </wp:positionH>
                <wp:positionV relativeFrom="paragraph">
                  <wp:posOffset>-4201160</wp:posOffset>
                </wp:positionV>
                <wp:extent cx="12065" cy="13335"/>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065" cy="13335"/>
                        </a:xfrm>
                        <a:prstGeom prst="rect">
                          <a:avLst/>
                        </a:prstGeom>
                        <a:solidFill>
                          <a:srgbClr val="000000"/>
                        </a:solidFill>
                      </wps:spPr>
                      <wps:bodyPr/>
                    </wps:wsp>
                  </a:graphicData>
                </a:graphic>
              </wp:anchor>
            </w:drawing>
          </mc:Choice>
          <mc:Fallback>
            <w:pict>
              <v:rect id="Shape 3" o:spid="_x0000_s1028" style="position:absolute;margin-left:59.5pt;margin-top:-330.7999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1974850</wp:posOffset>
                </wp:positionH>
                <wp:positionV relativeFrom="paragraph">
                  <wp:posOffset>-4201160</wp:posOffset>
                </wp:positionV>
                <wp:extent cx="12065" cy="13335"/>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065" cy="13335"/>
                        </a:xfrm>
                        <a:prstGeom prst="rect">
                          <a:avLst/>
                        </a:prstGeom>
                        <a:solidFill>
                          <a:srgbClr val="000000"/>
                        </a:solidFill>
                      </wps:spPr>
                      <wps:bodyPr/>
                    </wps:wsp>
                  </a:graphicData>
                </a:graphic>
              </wp:anchor>
            </w:drawing>
          </mc:Choice>
          <mc:Fallback>
            <w:pict>
              <v:rect id="Shape 4" o:spid="_x0000_s1029" style="position:absolute;margin-left:155.5pt;margin-top:-330.7999pt;width:0.95pt;height:1.0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pPr>
        <w:spacing w:after="0"/>
        <w:rPr>
          <w:sz w:val="20"/>
          <w:szCs w:val="20"/>
          <w:color w:val="auto"/>
        </w:rPr>
      </w:pPr>
      <w:r>
        <w:rPr>
          <w:rFonts w:ascii="Times New Roman" w:cs="Times New Roman" w:eastAsia="Times New Roman" w:hAnsi="Times New Roman"/>
          <w:sz w:val="28"/>
          <w:szCs w:val="28"/>
          <w:b w:val="1"/>
          <w:bCs w:val="1"/>
          <w:color w:val="auto"/>
        </w:rPr>
        <w:t xml:space="preserve">3.1.2 </w:t>
      </w:r>
      <w:r>
        <w:rPr>
          <w:rFonts w:ascii="宋体" w:cs="宋体" w:eastAsia="宋体" w:hAnsi="宋体"/>
          <w:sz w:val="28"/>
          <w:szCs w:val="28"/>
          <w:color w:val="auto"/>
        </w:rPr>
        <w:t>环境风险防范措施</w:t>
      </w:r>
    </w:p>
    <w:p>
      <w:pPr>
        <w:spacing w:after="0" w:line="374" w:lineRule="exact"/>
        <w:rPr>
          <w:sz w:val="20"/>
          <w:szCs w:val="20"/>
          <w:color w:val="auto"/>
        </w:rPr>
      </w:pPr>
    </w:p>
    <w:p>
      <w:pPr>
        <w:ind w:left="480"/>
        <w:spacing w:after="0"/>
        <w:rPr>
          <w:sz w:val="20"/>
          <w:szCs w:val="20"/>
          <w:color w:val="auto"/>
        </w:rPr>
      </w:pPr>
      <w:r>
        <w:rPr>
          <w:rFonts w:ascii="宋体" w:cs="宋体" w:eastAsia="宋体" w:hAnsi="宋体"/>
          <w:sz w:val="24"/>
          <w:szCs w:val="24"/>
          <w:color w:val="auto"/>
        </w:rPr>
        <w:t>技改工程主要环境风险为炸药库发生爆炸或废石场引发滑坡及拦渣坝垮塌。</w:t>
      </w:r>
    </w:p>
    <w:p>
      <w:pPr>
        <w:spacing w:after="0" w:line="194" w:lineRule="exact"/>
        <w:rPr>
          <w:sz w:val="20"/>
          <w:szCs w:val="20"/>
          <w:color w:val="auto"/>
        </w:rPr>
      </w:pPr>
    </w:p>
    <w:p>
      <w:pPr>
        <w:spacing w:after="0"/>
        <w:rPr>
          <w:sz w:val="20"/>
          <w:szCs w:val="20"/>
          <w:color w:val="auto"/>
        </w:rPr>
      </w:pPr>
      <w:r>
        <w:rPr>
          <w:rFonts w:ascii="宋体" w:cs="宋体" w:eastAsia="宋体" w:hAnsi="宋体"/>
          <w:sz w:val="24"/>
          <w:szCs w:val="24"/>
          <w:color w:val="auto"/>
        </w:rPr>
        <w:t>炸药库发生事故影响面窄，但破坏力大；废石场发生事故影响面较大。企业于</w:t>
      </w:r>
    </w:p>
    <w:p>
      <w:pPr>
        <w:spacing w:after="0" w:line="309" w:lineRule="exact"/>
        <w:rPr>
          <w:sz w:val="20"/>
          <w:szCs w:val="20"/>
          <w:color w:val="auto"/>
        </w:rPr>
      </w:pPr>
    </w:p>
    <w:p>
      <w:pPr>
        <w:ind w:left="4280"/>
        <w:spacing w:after="0"/>
        <w:rPr>
          <w:sz w:val="20"/>
          <w:szCs w:val="20"/>
          <w:color w:val="auto"/>
        </w:rPr>
      </w:pPr>
      <w:r>
        <w:rPr>
          <w:rFonts w:ascii="Times New Roman" w:cs="Times New Roman" w:eastAsia="Times New Roman" w:hAnsi="Times New Roman"/>
          <w:sz w:val="18"/>
          <w:szCs w:val="18"/>
          <w:color w:val="auto"/>
        </w:rPr>
        <w:t>2</w:t>
      </w:r>
    </w:p>
    <w:p>
      <w:pPr>
        <w:sectPr>
          <w:pgSz w:w="11900" w:h="16838" w:orient="portrait"/>
          <w:cols w:equalWidth="0" w:num="1">
            <w:col w:w="8420"/>
          </w:cols>
          <w:pgMar w:left="1800" w:top="1424" w:right="1680" w:bottom="942" w:gutter="0" w:footer="0" w:header="0"/>
        </w:sectPr>
      </w:pPr>
    </w:p>
    <w:bookmarkStart w:id="2" w:name="page3"/>
    <w:bookmarkEnd w:id="2"/>
    <w:p>
      <w:pPr>
        <w:ind w:left="20"/>
        <w:spacing w:after="0"/>
        <w:rPr>
          <w:sz w:val="20"/>
          <w:szCs w:val="20"/>
          <w:color w:val="auto"/>
        </w:rPr>
      </w:pPr>
      <w:r>
        <w:rPr>
          <w:rFonts w:ascii="Times New Roman" w:cs="Times New Roman" w:eastAsia="Times New Roman" w:hAnsi="Times New Roman"/>
          <w:sz w:val="24"/>
          <w:szCs w:val="24"/>
          <w:color w:val="auto"/>
        </w:rPr>
        <mc:AlternateContent>
          <mc:Choice Requires="wps">
            <w:drawing>
              <wp:anchor simplePos="0" relativeHeight="251657728" behindDoc="1" locked="0" layoutInCell="0" allowOverlap="1">
                <wp:simplePos x="0" y="0"/>
                <wp:positionH relativeFrom="page">
                  <wp:posOffset>1124585</wp:posOffset>
                </wp:positionH>
                <wp:positionV relativeFrom="page">
                  <wp:posOffset>687070</wp:posOffset>
                </wp:positionV>
                <wp:extent cx="5311140" cy="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311140" cy="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88.55pt,54.1pt" to="506.75pt,54.1pt" o:allowincell="f" strokecolor="#000000" strokeweight="0.7199pt">
                <w10:wrap anchorx="page" anchory="page"/>
              </v:line>
            </w:pict>
          </mc:Fallback>
        </mc:AlternateContent>
        <w:t xml:space="preserve">2017 </w:t>
      </w:r>
      <w:r>
        <w:rPr>
          <w:rFonts w:ascii="宋体" w:cs="宋体" w:eastAsia="宋体" w:hAnsi="宋体"/>
          <w:sz w:val="24"/>
          <w:szCs w:val="24"/>
          <w:color w:val="auto"/>
        </w:rPr>
        <w:t>年</w:t>
      </w:r>
      <w:r>
        <w:rPr>
          <w:rFonts w:ascii="Times New Roman" w:cs="Times New Roman" w:eastAsia="Times New Roman" w:hAnsi="Times New Roman"/>
          <w:sz w:val="24"/>
          <w:szCs w:val="24"/>
          <w:color w:val="auto"/>
        </w:rPr>
        <w:t xml:space="preserve"> 11 </w:t>
      </w:r>
      <w:r>
        <w:rPr>
          <w:rFonts w:ascii="宋体" w:cs="宋体" w:eastAsia="宋体" w:hAnsi="宋体"/>
          <w:sz w:val="24"/>
          <w:szCs w:val="24"/>
          <w:color w:val="auto"/>
        </w:rPr>
        <w:t>月编制了企业突发环境事件应急预案，并完成备案（</w:t>
      </w:r>
      <w:r>
        <w:rPr>
          <w:rFonts w:ascii="Times New Roman" w:cs="Times New Roman" w:eastAsia="Times New Roman" w:hAnsi="Times New Roman"/>
          <w:sz w:val="24"/>
          <w:szCs w:val="24"/>
          <w:color w:val="auto"/>
        </w:rPr>
        <w:t>211081-2018-006-</w:t>
      </w:r>
    </w:p>
    <w:p>
      <w:pPr>
        <w:spacing w:after="0" w:line="176" w:lineRule="exact"/>
        <w:rPr>
          <w:sz w:val="20"/>
          <w:szCs w:val="20"/>
          <w:color w:val="auto"/>
        </w:rPr>
      </w:pPr>
    </w:p>
    <w:p>
      <w:pPr>
        <w:ind w:left="20"/>
        <w:spacing w:after="0"/>
        <w:rPr>
          <w:sz w:val="20"/>
          <w:szCs w:val="20"/>
          <w:color w:val="auto"/>
        </w:rPr>
      </w:pPr>
      <w:r>
        <w:rPr>
          <w:rFonts w:ascii="Times New Roman" w:cs="Times New Roman" w:eastAsia="Times New Roman" w:hAnsi="Times New Roman"/>
          <w:sz w:val="24"/>
          <w:szCs w:val="24"/>
          <w:color w:val="auto"/>
        </w:rPr>
        <w:t>L</w:t>
      </w:r>
      <w:r>
        <w:rPr>
          <w:rFonts w:ascii="宋体" w:cs="宋体" w:eastAsia="宋体" w:hAnsi="宋体"/>
          <w:sz w:val="24"/>
          <w:szCs w:val="24"/>
          <w:color w:val="auto"/>
        </w:rPr>
        <w:t>）。除环评报告提出环境风险防范措施外，企业针对生产过程中涉及的环境风</w:t>
      </w:r>
    </w:p>
    <w:p>
      <w:pPr>
        <w:spacing w:after="0" w:line="182" w:lineRule="exact"/>
        <w:rPr>
          <w:sz w:val="20"/>
          <w:szCs w:val="20"/>
          <w:color w:val="auto"/>
        </w:rPr>
      </w:pPr>
    </w:p>
    <w:p>
      <w:pPr>
        <w:ind w:left="20"/>
        <w:spacing w:after="0"/>
        <w:rPr>
          <w:sz w:val="20"/>
          <w:szCs w:val="20"/>
          <w:color w:val="auto"/>
        </w:rPr>
      </w:pPr>
      <w:r>
        <w:rPr>
          <w:rFonts w:ascii="宋体" w:cs="宋体" w:eastAsia="宋体" w:hAnsi="宋体"/>
          <w:sz w:val="24"/>
          <w:szCs w:val="24"/>
          <w:color w:val="auto"/>
        </w:rPr>
        <w:t>险物质及环境风险环节分别提出了相应防范措施。</w:t>
      </w:r>
    </w:p>
    <w:p>
      <w:pPr>
        <w:spacing w:after="0" w:line="336" w:lineRule="exact"/>
        <w:rPr>
          <w:sz w:val="20"/>
          <w:szCs w:val="20"/>
          <w:color w:val="auto"/>
        </w:rPr>
      </w:pPr>
    </w:p>
    <w:p>
      <w:pPr>
        <w:ind w:left="20"/>
        <w:spacing w:after="0"/>
        <w:rPr>
          <w:sz w:val="20"/>
          <w:szCs w:val="20"/>
          <w:color w:val="auto"/>
        </w:rPr>
      </w:pPr>
      <w:r>
        <w:rPr>
          <w:rFonts w:ascii="Times New Roman" w:cs="Times New Roman" w:eastAsia="Times New Roman" w:hAnsi="Times New Roman"/>
          <w:sz w:val="28"/>
          <w:szCs w:val="28"/>
          <w:b w:val="1"/>
          <w:bCs w:val="1"/>
          <w:color w:val="auto"/>
        </w:rPr>
        <w:t xml:space="preserve">3.1.3 </w:t>
      </w:r>
      <w:r>
        <w:rPr>
          <w:rFonts w:ascii="宋体" w:cs="宋体" w:eastAsia="宋体" w:hAnsi="宋体"/>
          <w:sz w:val="28"/>
          <w:szCs w:val="28"/>
          <w:color w:val="auto"/>
        </w:rPr>
        <w:t>环境监测和调查计划</w:t>
      </w:r>
    </w:p>
    <w:p>
      <w:pPr>
        <w:spacing w:after="0" w:line="366" w:lineRule="exact"/>
        <w:rPr>
          <w:sz w:val="20"/>
          <w:szCs w:val="20"/>
          <w:color w:val="auto"/>
        </w:rPr>
      </w:pPr>
    </w:p>
    <w:p>
      <w:pPr>
        <w:ind w:left="500"/>
        <w:spacing w:after="0"/>
        <w:rPr>
          <w:sz w:val="20"/>
          <w:szCs w:val="20"/>
          <w:color w:val="auto"/>
        </w:rPr>
      </w:pPr>
      <w:r>
        <w:rPr>
          <w:rFonts w:ascii="宋体" w:cs="宋体" w:eastAsia="宋体" w:hAnsi="宋体"/>
          <w:sz w:val="23"/>
          <w:szCs w:val="23"/>
          <w:color w:val="auto"/>
        </w:rPr>
        <w:t xml:space="preserve">企业委托大连博源检测评价中心有限公司于 </w:t>
      </w:r>
      <w:r>
        <w:rPr>
          <w:rFonts w:ascii="Times New Roman" w:cs="Times New Roman" w:eastAsia="Times New Roman" w:hAnsi="Times New Roman"/>
          <w:sz w:val="23"/>
          <w:szCs w:val="23"/>
          <w:color w:val="auto"/>
        </w:rPr>
        <w:t>2018</w:t>
      </w:r>
      <w:r>
        <w:rPr>
          <w:rFonts w:ascii="宋体" w:cs="宋体" w:eastAsia="宋体" w:hAnsi="宋体"/>
          <w:sz w:val="23"/>
          <w:szCs w:val="23"/>
          <w:color w:val="auto"/>
        </w:rPr>
        <w:t xml:space="preserve"> 年 </w:t>
      </w:r>
      <w:r>
        <w:rPr>
          <w:rFonts w:ascii="Times New Roman" w:cs="Times New Roman" w:eastAsia="Times New Roman" w:hAnsi="Times New Roman"/>
          <w:sz w:val="23"/>
          <w:szCs w:val="23"/>
          <w:color w:val="auto"/>
        </w:rPr>
        <w:t>3</w:t>
      </w:r>
      <w:r>
        <w:rPr>
          <w:rFonts w:ascii="宋体" w:cs="宋体" w:eastAsia="宋体" w:hAnsi="宋体"/>
          <w:sz w:val="23"/>
          <w:szCs w:val="23"/>
          <w:color w:val="auto"/>
        </w:rPr>
        <w:t xml:space="preserve"> 月 </w:t>
      </w:r>
      <w:r>
        <w:rPr>
          <w:rFonts w:ascii="Times New Roman" w:cs="Times New Roman" w:eastAsia="Times New Roman" w:hAnsi="Times New Roman"/>
          <w:sz w:val="23"/>
          <w:szCs w:val="23"/>
          <w:color w:val="auto"/>
        </w:rPr>
        <w:t>28</w:t>
      </w:r>
      <w:r>
        <w:rPr>
          <w:rFonts w:ascii="宋体" w:cs="宋体" w:eastAsia="宋体" w:hAnsi="宋体"/>
          <w:sz w:val="23"/>
          <w:szCs w:val="23"/>
          <w:color w:val="auto"/>
        </w:rPr>
        <w:t xml:space="preserve"> 日至 </w:t>
      </w:r>
      <w:r>
        <w:rPr>
          <w:rFonts w:ascii="Times New Roman" w:cs="Times New Roman" w:eastAsia="Times New Roman" w:hAnsi="Times New Roman"/>
          <w:sz w:val="23"/>
          <w:szCs w:val="23"/>
          <w:color w:val="auto"/>
        </w:rPr>
        <w:t>2018</w:t>
      </w:r>
      <w:r>
        <w:rPr>
          <w:rFonts w:ascii="宋体" w:cs="宋体" w:eastAsia="宋体" w:hAnsi="宋体"/>
          <w:sz w:val="23"/>
          <w:szCs w:val="23"/>
          <w:color w:val="auto"/>
        </w:rPr>
        <w:t xml:space="preserve"> 年 </w:t>
      </w:r>
      <w:r>
        <w:rPr>
          <w:rFonts w:ascii="Times New Roman" w:cs="Times New Roman" w:eastAsia="Times New Roman" w:hAnsi="Times New Roman"/>
          <w:sz w:val="23"/>
          <w:szCs w:val="23"/>
          <w:color w:val="auto"/>
        </w:rPr>
        <w:t>3</w:t>
      </w:r>
    </w:p>
    <w:p>
      <w:pPr>
        <w:spacing w:after="0" w:line="186" w:lineRule="exact"/>
        <w:rPr>
          <w:sz w:val="20"/>
          <w:szCs w:val="20"/>
          <w:color w:val="auto"/>
        </w:rPr>
      </w:pPr>
    </w:p>
    <w:p>
      <w:pPr>
        <w:ind w:left="20"/>
        <w:spacing w:after="0"/>
        <w:rPr>
          <w:sz w:val="20"/>
          <w:szCs w:val="20"/>
          <w:color w:val="auto"/>
        </w:rPr>
      </w:pPr>
      <w:r>
        <w:rPr>
          <w:rFonts w:ascii="宋体" w:cs="宋体" w:eastAsia="宋体" w:hAnsi="宋体"/>
          <w:sz w:val="24"/>
          <w:szCs w:val="24"/>
          <w:color w:val="auto"/>
        </w:rPr>
        <w:t xml:space="preserve">月 </w:t>
      </w:r>
      <w:r>
        <w:rPr>
          <w:rFonts w:ascii="Times New Roman" w:cs="Times New Roman" w:eastAsia="Times New Roman" w:hAnsi="Times New Roman"/>
          <w:sz w:val="24"/>
          <w:szCs w:val="24"/>
          <w:color w:val="auto"/>
        </w:rPr>
        <w:t>29</w:t>
      </w:r>
      <w:r>
        <w:rPr>
          <w:rFonts w:ascii="宋体" w:cs="宋体" w:eastAsia="宋体" w:hAnsi="宋体"/>
          <w:sz w:val="24"/>
          <w:szCs w:val="24"/>
          <w:color w:val="auto"/>
        </w:rPr>
        <w:t xml:space="preserve"> 日对小汪沟采区地面破碎除尘系统除尘器排气筒、贮矿仓布袋除尘器排气</w:t>
      </w:r>
    </w:p>
    <w:p>
      <w:pPr>
        <w:spacing w:after="0" w:line="184" w:lineRule="exact"/>
        <w:rPr>
          <w:sz w:val="20"/>
          <w:szCs w:val="20"/>
          <w:color w:val="auto"/>
        </w:rPr>
      </w:pPr>
    </w:p>
    <w:p>
      <w:pPr>
        <w:ind w:left="20"/>
        <w:spacing w:after="0"/>
        <w:rPr>
          <w:sz w:val="20"/>
          <w:szCs w:val="20"/>
          <w:color w:val="auto"/>
        </w:rPr>
      </w:pPr>
      <w:r>
        <w:rPr>
          <w:rFonts w:ascii="宋体" w:cs="宋体" w:eastAsia="宋体" w:hAnsi="宋体"/>
          <w:sz w:val="24"/>
          <w:szCs w:val="24"/>
          <w:color w:val="auto"/>
        </w:rPr>
        <w:t>筒进行了有组织废气定期监测，采矿区进行了无组织废气监测，并对厂界噪声进</w:t>
      </w:r>
    </w:p>
    <w:p>
      <w:pPr>
        <w:spacing w:after="0" w:line="192" w:lineRule="exact"/>
        <w:rPr>
          <w:sz w:val="20"/>
          <w:szCs w:val="20"/>
          <w:color w:val="auto"/>
        </w:rPr>
      </w:pPr>
    </w:p>
    <w:p>
      <w:pPr>
        <w:ind w:left="20"/>
        <w:spacing w:after="0"/>
        <w:rPr>
          <w:sz w:val="20"/>
          <w:szCs w:val="20"/>
          <w:color w:val="auto"/>
        </w:rPr>
      </w:pPr>
      <w:r>
        <w:rPr>
          <w:rFonts w:ascii="宋体" w:cs="宋体" w:eastAsia="宋体" w:hAnsi="宋体"/>
          <w:sz w:val="24"/>
          <w:szCs w:val="24"/>
          <w:color w:val="auto"/>
        </w:rPr>
        <w:t>行了定期环境监测。</w:t>
      </w:r>
    </w:p>
    <w:p>
      <w:pPr>
        <w:spacing w:after="0" w:line="335" w:lineRule="exact"/>
        <w:rPr>
          <w:sz w:val="20"/>
          <w:szCs w:val="20"/>
          <w:color w:val="auto"/>
        </w:rPr>
      </w:pPr>
    </w:p>
    <w:p>
      <w:pPr>
        <w:ind w:left="20"/>
        <w:spacing w:after="0"/>
        <w:rPr>
          <w:sz w:val="20"/>
          <w:szCs w:val="20"/>
          <w:color w:val="auto"/>
        </w:rPr>
      </w:pPr>
      <w:r>
        <w:rPr>
          <w:rFonts w:ascii="Times New Roman" w:cs="Times New Roman" w:eastAsia="Times New Roman" w:hAnsi="Times New Roman"/>
          <w:sz w:val="30"/>
          <w:szCs w:val="30"/>
          <w:b w:val="1"/>
          <w:bCs w:val="1"/>
          <w:color w:val="auto"/>
        </w:rPr>
        <w:t xml:space="preserve">3.2 </w:t>
      </w:r>
      <w:r>
        <w:rPr>
          <w:rFonts w:ascii="宋体" w:cs="宋体" w:eastAsia="宋体" w:hAnsi="宋体"/>
          <w:sz w:val="30"/>
          <w:szCs w:val="30"/>
          <w:color w:val="auto"/>
        </w:rPr>
        <w:t>环境保护措施落实情况</w:t>
      </w:r>
    </w:p>
    <w:p>
      <w:pPr>
        <w:spacing w:after="0" w:line="375" w:lineRule="exact"/>
        <w:rPr>
          <w:sz w:val="20"/>
          <w:szCs w:val="20"/>
          <w:color w:val="auto"/>
        </w:rPr>
      </w:pPr>
    </w:p>
    <w:p>
      <w:pPr>
        <w:ind w:left="20"/>
        <w:spacing w:after="0"/>
        <w:rPr>
          <w:sz w:val="20"/>
          <w:szCs w:val="20"/>
          <w:color w:val="auto"/>
        </w:rPr>
      </w:pPr>
      <w:r>
        <w:rPr>
          <w:rFonts w:ascii="Times New Roman" w:cs="Times New Roman" w:eastAsia="Times New Roman" w:hAnsi="Times New Roman"/>
          <w:sz w:val="28"/>
          <w:szCs w:val="28"/>
          <w:b w:val="1"/>
          <w:bCs w:val="1"/>
          <w:color w:val="auto"/>
        </w:rPr>
        <w:t xml:space="preserve">3.2.1 </w:t>
      </w:r>
      <w:r>
        <w:rPr>
          <w:rFonts w:ascii="宋体" w:cs="宋体" w:eastAsia="宋体" w:hAnsi="宋体"/>
          <w:sz w:val="28"/>
          <w:szCs w:val="28"/>
          <w:color w:val="auto"/>
        </w:rPr>
        <w:t>施工期环境保护措施</w:t>
      </w:r>
    </w:p>
    <w:p>
      <w:pPr>
        <w:spacing w:after="0" w:line="366" w:lineRule="exact"/>
        <w:rPr>
          <w:sz w:val="20"/>
          <w:szCs w:val="20"/>
          <w:color w:val="auto"/>
        </w:rPr>
      </w:pPr>
    </w:p>
    <w:p>
      <w:pPr>
        <w:ind w:left="500"/>
        <w:spacing w:after="0"/>
        <w:rPr>
          <w:sz w:val="20"/>
          <w:szCs w:val="20"/>
          <w:color w:val="auto"/>
        </w:rPr>
      </w:pPr>
      <w:r>
        <w:rPr>
          <w:rFonts w:ascii="宋体" w:cs="宋体" w:eastAsia="宋体" w:hAnsi="宋体"/>
          <w:sz w:val="24"/>
          <w:szCs w:val="24"/>
          <w:color w:val="auto"/>
        </w:rPr>
        <w:t xml:space="preserve">技改工程施工期生态环境保护措施落实情况见表 </w:t>
      </w:r>
      <w:r>
        <w:rPr>
          <w:rFonts w:ascii="Times New Roman" w:cs="Times New Roman" w:eastAsia="Times New Roman" w:hAnsi="Times New Roman"/>
          <w:sz w:val="24"/>
          <w:szCs w:val="24"/>
          <w:color w:val="auto"/>
        </w:rPr>
        <w:t>3.2-1</w:t>
      </w:r>
      <w:r>
        <w:rPr>
          <w:rFonts w:ascii="宋体" w:cs="宋体" w:eastAsia="宋体" w:hAnsi="宋体"/>
          <w:sz w:val="24"/>
          <w:szCs w:val="24"/>
          <w:color w:val="auto"/>
        </w:rPr>
        <w:t>。</w:t>
      </w:r>
    </w:p>
    <w:p>
      <w:pPr>
        <w:spacing w:after="0" w:line="169" w:lineRule="exact"/>
        <w:rPr>
          <w:sz w:val="20"/>
          <w:szCs w:val="20"/>
          <w:color w:val="auto"/>
        </w:rPr>
      </w:pPr>
    </w:p>
    <w:p>
      <w:pPr>
        <w:ind w:left="2040"/>
        <w:spacing w:after="0"/>
        <w:rPr>
          <w:sz w:val="20"/>
          <w:szCs w:val="20"/>
          <w:color w:val="auto"/>
        </w:rPr>
      </w:pPr>
      <w:r>
        <w:rPr>
          <w:rFonts w:ascii="宋体" w:cs="宋体" w:eastAsia="宋体" w:hAnsi="宋体"/>
          <w:sz w:val="21"/>
          <w:szCs w:val="21"/>
          <w:color w:val="auto"/>
        </w:rPr>
        <w:t xml:space="preserve">表 </w:t>
      </w:r>
      <w:r>
        <w:rPr>
          <w:rFonts w:ascii="Times New Roman" w:cs="Times New Roman" w:eastAsia="Times New Roman" w:hAnsi="Times New Roman"/>
          <w:sz w:val="21"/>
          <w:szCs w:val="21"/>
          <w:b w:val="1"/>
          <w:bCs w:val="1"/>
          <w:color w:val="auto"/>
        </w:rPr>
        <w:t>3.2-1</w:t>
      </w:r>
      <w:r>
        <w:rPr>
          <w:rFonts w:ascii="宋体" w:cs="宋体" w:eastAsia="宋体" w:hAnsi="宋体"/>
          <w:sz w:val="21"/>
          <w:szCs w:val="21"/>
          <w:color w:val="auto"/>
        </w:rPr>
        <w:t xml:space="preserve"> 技改工程生态环境保护措施落实情况调查表</w:t>
      </w:r>
    </w:p>
    <w:p>
      <w:pPr>
        <w:spacing w:after="0" w:line="147" w:lineRule="exact"/>
        <w:rPr>
          <w:sz w:val="20"/>
          <w:szCs w:val="20"/>
          <w:color w:val="auto"/>
        </w:rPr>
      </w:pPr>
    </w:p>
    <w:tbl>
      <w:tblPr>
        <w:tblLayout w:type="fixed"/>
        <w:tblInd w:w="0" w:type="dxa"/>
        <w:tblCellMar>
          <w:top w:w="0" w:type="dxa"/>
          <w:left w:w="0" w:type="dxa"/>
          <w:bottom w:w="0" w:type="dxa"/>
          <w:right w:w="0" w:type="dxa"/>
        </w:tblCellMar>
      </w:tblPr>
      <w:tr>
        <w:trPr>
          <w:trHeight w:val="268"/>
        </w:trPr>
        <w:tc>
          <w:tcPr>
            <w:tcW w:w="20" w:type="dxa"/>
            <w:vAlign w:val="bottom"/>
          </w:tcPr>
          <w:p>
            <w:pPr>
              <w:spacing w:after="0"/>
              <w:rPr>
                <w:sz w:val="23"/>
                <w:szCs w:val="23"/>
                <w:color w:val="auto"/>
              </w:rPr>
            </w:pPr>
          </w:p>
        </w:tc>
        <w:tc>
          <w:tcPr>
            <w:tcW w:w="1100" w:type="dxa"/>
            <w:vAlign w:val="bottom"/>
            <w:tcBorders>
              <w:top w:val="single" w:sz="8" w:color="auto"/>
              <w:right w:val="single" w:sz="8" w:color="auto"/>
            </w:tcBorders>
          </w:tcPr>
          <w:p>
            <w:pPr>
              <w:jc w:val="center"/>
              <w:spacing w:after="0" w:line="239" w:lineRule="exact"/>
              <w:rPr>
                <w:sz w:val="20"/>
                <w:szCs w:val="20"/>
                <w:color w:val="auto"/>
              </w:rPr>
            </w:pPr>
            <w:r>
              <w:rPr>
                <w:rFonts w:ascii="宋体" w:cs="宋体" w:eastAsia="宋体" w:hAnsi="宋体"/>
                <w:sz w:val="21"/>
                <w:szCs w:val="21"/>
                <w:color w:val="auto"/>
                <w:w w:val="99"/>
              </w:rPr>
              <w:t>生产环节</w:t>
            </w:r>
          </w:p>
        </w:tc>
        <w:tc>
          <w:tcPr>
            <w:tcW w:w="2960" w:type="dxa"/>
            <w:vAlign w:val="bottom"/>
            <w:tcBorders>
              <w:top w:val="single" w:sz="8" w:color="auto"/>
              <w:right w:val="single" w:sz="8" w:color="auto"/>
            </w:tcBorders>
          </w:tcPr>
          <w:p>
            <w:pPr>
              <w:ind w:left="620"/>
              <w:spacing w:after="0" w:line="239" w:lineRule="exact"/>
              <w:rPr>
                <w:sz w:val="20"/>
                <w:szCs w:val="20"/>
                <w:color w:val="auto"/>
              </w:rPr>
            </w:pPr>
            <w:r>
              <w:rPr>
                <w:rFonts w:ascii="宋体" w:cs="宋体" w:eastAsia="宋体" w:hAnsi="宋体"/>
                <w:sz w:val="21"/>
                <w:szCs w:val="21"/>
                <w:color w:val="auto"/>
              </w:rPr>
              <w:t>环评及其批复要求</w:t>
            </w:r>
          </w:p>
        </w:tc>
        <w:tc>
          <w:tcPr>
            <w:tcW w:w="2960" w:type="dxa"/>
            <w:vAlign w:val="bottom"/>
            <w:tcBorders>
              <w:top w:val="single" w:sz="8" w:color="auto"/>
              <w:right w:val="single" w:sz="8" w:color="auto"/>
            </w:tcBorders>
          </w:tcPr>
          <w:p>
            <w:pPr>
              <w:ind w:left="840"/>
              <w:spacing w:after="0" w:line="239" w:lineRule="exact"/>
              <w:rPr>
                <w:sz w:val="20"/>
                <w:szCs w:val="20"/>
                <w:color w:val="auto"/>
              </w:rPr>
            </w:pPr>
            <w:r>
              <w:rPr>
                <w:rFonts w:ascii="宋体" w:cs="宋体" w:eastAsia="宋体" w:hAnsi="宋体"/>
                <w:sz w:val="21"/>
                <w:szCs w:val="21"/>
                <w:color w:val="auto"/>
              </w:rPr>
              <w:t>实际落实措施</w:t>
            </w:r>
          </w:p>
        </w:tc>
        <w:tc>
          <w:tcPr>
            <w:tcW w:w="1280" w:type="dxa"/>
            <w:vAlign w:val="bottom"/>
            <w:tcBorders>
              <w:top w:val="single" w:sz="8" w:color="auto"/>
            </w:tcBorders>
          </w:tcPr>
          <w:p>
            <w:pPr>
              <w:jc w:val="center"/>
              <w:spacing w:after="0" w:line="239" w:lineRule="exact"/>
              <w:rPr>
                <w:sz w:val="20"/>
                <w:szCs w:val="20"/>
                <w:color w:val="auto"/>
              </w:rPr>
            </w:pPr>
            <w:r>
              <w:rPr>
                <w:rFonts w:ascii="宋体" w:cs="宋体" w:eastAsia="宋体" w:hAnsi="宋体"/>
                <w:sz w:val="21"/>
                <w:szCs w:val="21"/>
                <w:color w:val="auto"/>
                <w:w w:val="99"/>
              </w:rPr>
              <w:t>是否落实</w:t>
            </w:r>
          </w:p>
        </w:tc>
        <w:tc>
          <w:tcPr>
            <w:tcW w:w="0" w:type="dxa"/>
            <w:vAlign w:val="bottom"/>
          </w:tcPr>
          <w:p>
            <w:pPr>
              <w:spacing w:after="0"/>
              <w:rPr>
                <w:sz w:val="1"/>
                <w:szCs w:val="1"/>
                <w:color w:val="auto"/>
              </w:rPr>
            </w:pPr>
          </w:p>
        </w:tc>
      </w:tr>
      <w:tr>
        <w:trPr>
          <w:trHeight w:val="34"/>
        </w:trPr>
        <w:tc>
          <w:tcPr>
            <w:tcW w:w="20" w:type="dxa"/>
            <w:vAlign w:val="bottom"/>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2960" w:type="dxa"/>
            <w:vAlign w:val="bottom"/>
            <w:tcBorders>
              <w:bottom w:val="single" w:sz="8" w:color="auto"/>
              <w:right w:val="single" w:sz="8" w:color="auto"/>
            </w:tcBorders>
          </w:tcPr>
          <w:p>
            <w:pPr>
              <w:spacing w:after="0"/>
              <w:rPr>
                <w:sz w:val="2"/>
                <w:szCs w:val="2"/>
                <w:color w:val="auto"/>
              </w:rPr>
            </w:pPr>
          </w:p>
        </w:tc>
        <w:tc>
          <w:tcPr>
            <w:tcW w:w="2960" w:type="dxa"/>
            <w:vAlign w:val="bottom"/>
            <w:tcBorders>
              <w:bottom w:val="single" w:sz="8" w:color="auto"/>
              <w:right w:val="single" w:sz="8" w:color="auto"/>
            </w:tcBorders>
          </w:tcPr>
          <w:p>
            <w:pPr>
              <w:spacing w:after="0"/>
              <w:rPr>
                <w:sz w:val="2"/>
                <w:szCs w:val="2"/>
                <w:color w:val="auto"/>
              </w:rPr>
            </w:pPr>
          </w:p>
        </w:tc>
        <w:tc>
          <w:tcPr>
            <w:tcW w:w="1280" w:type="dxa"/>
            <w:vAlign w:val="bottom"/>
            <w:tcBorders>
              <w:bottom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29"/>
        </w:trPr>
        <w:tc>
          <w:tcPr>
            <w:tcW w:w="20" w:type="dxa"/>
            <w:vAlign w:val="bottom"/>
          </w:tcPr>
          <w:p>
            <w:pPr>
              <w:spacing w:after="0"/>
              <w:rPr>
                <w:sz w:val="19"/>
                <w:szCs w:val="19"/>
                <w:color w:val="auto"/>
              </w:rPr>
            </w:pPr>
          </w:p>
        </w:tc>
        <w:tc>
          <w:tcPr>
            <w:tcW w:w="1100" w:type="dxa"/>
            <w:vAlign w:val="bottom"/>
            <w:tcBorders>
              <w:right w:val="single" w:sz="8" w:color="auto"/>
            </w:tcBorders>
          </w:tcPr>
          <w:p>
            <w:pPr>
              <w:spacing w:after="0"/>
              <w:rPr>
                <w:sz w:val="19"/>
                <w:szCs w:val="19"/>
                <w:color w:val="auto"/>
              </w:rPr>
            </w:pPr>
          </w:p>
        </w:tc>
        <w:tc>
          <w:tcPr>
            <w:tcW w:w="2960" w:type="dxa"/>
            <w:vAlign w:val="bottom"/>
            <w:tcBorders>
              <w:right w:val="single" w:sz="8" w:color="auto"/>
            </w:tcBorders>
          </w:tcPr>
          <w:p>
            <w:pPr>
              <w:ind w:left="80"/>
              <w:spacing w:after="0" w:line="229" w:lineRule="exact"/>
              <w:rPr>
                <w:sz w:val="20"/>
                <w:szCs w:val="20"/>
                <w:color w:val="auto"/>
              </w:rPr>
            </w:pPr>
            <w:r>
              <w:rPr>
                <w:rFonts w:ascii="宋体" w:cs="宋体" w:eastAsia="宋体" w:hAnsi="宋体"/>
                <w:sz w:val="21"/>
                <w:szCs w:val="21"/>
                <w:color w:val="auto"/>
              </w:rPr>
              <w:t>施工活动严格控制在红线范围</w:t>
            </w:r>
          </w:p>
        </w:tc>
        <w:tc>
          <w:tcPr>
            <w:tcW w:w="2960" w:type="dxa"/>
            <w:vAlign w:val="bottom"/>
            <w:tcBorders>
              <w:right w:val="single" w:sz="8" w:color="auto"/>
            </w:tcBorders>
            <w:vMerge w:val="restart"/>
          </w:tcPr>
          <w:p>
            <w:pPr>
              <w:ind w:left="100"/>
              <w:spacing w:after="0" w:line="239" w:lineRule="exact"/>
              <w:rPr>
                <w:sz w:val="20"/>
                <w:szCs w:val="20"/>
                <w:color w:val="auto"/>
              </w:rPr>
            </w:pPr>
            <w:r>
              <w:rPr>
                <w:rFonts w:ascii="宋体" w:cs="宋体" w:eastAsia="宋体" w:hAnsi="宋体"/>
                <w:sz w:val="21"/>
                <w:szCs w:val="21"/>
                <w:color w:val="auto"/>
              </w:rPr>
              <w:t>企业编制了矿山地质环境保护</w:t>
            </w:r>
          </w:p>
        </w:tc>
        <w:tc>
          <w:tcPr>
            <w:tcW w:w="1280" w:type="dxa"/>
            <w:vAlign w:val="bottom"/>
          </w:tcPr>
          <w:p>
            <w:pPr>
              <w:spacing w:after="0"/>
              <w:rPr>
                <w:sz w:val="19"/>
                <w:szCs w:val="19"/>
                <w:color w:val="auto"/>
              </w:rPr>
            </w:pPr>
          </w:p>
        </w:tc>
        <w:tc>
          <w:tcPr>
            <w:tcW w:w="0" w:type="dxa"/>
            <w:vAlign w:val="bottom"/>
          </w:tcPr>
          <w:p>
            <w:pPr>
              <w:spacing w:after="0"/>
              <w:rPr>
                <w:sz w:val="1"/>
                <w:szCs w:val="1"/>
                <w:color w:val="auto"/>
              </w:rPr>
            </w:pPr>
          </w:p>
        </w:tc>
      </w:tr>
      <w:tr>
        <w:trPr>
          <w:trHeight w:val="134"/>
        </w:trPr>
        <w:tc>
          <w:tcPr>
            <w:tcW w:w="20" w:type="dxa"/>
            <w:vAlign w:val="bottom"/>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2960" w:type="dxa"/>
            <w:vAlign w:val="bottom"/>
            <w:tcBorders>
              <w:right w:val="single" w:sz="8" w:color="auto"/>
            </w:tcBorders>
            <w:vMerge w:val="restart"/>
          </w:tcPr>
          <w:p>
            <w:pPr>
              <w:ind w:left="80"/>
              <w:spacing w:after="0" w:line="239" w:lineRule="exact"/>
              <w:rPr>
                <w:sz w:val="20"/>
                <w:szCs w:val="20"/>
                <w:color w:val="auto"/>
              </w:rPr>
            </w:pPr>
            <w:r>
              <w:rPr>
                <w:rFonts w:ascii="宋体" w:cs="宋体" w:eastAsia="宋体" w:hAnsi="宋体"/>
                <w:sz w:val="21"/>
                <w:szCs w:val="21"/>
                <w:color w:val="auto"/>
              </w:rPr>
              <w:t>内，清表活动采取单边逐步推</w:t>
            </w:r>
          </w:p>
        </w:tc>
        <w:tc>
          <w:tcPr>
            <w:tcW w:w="2960" w:type="dxa"/>
            <w:vAlign w:val="bottom"/>
            <w:tcBorders>
              <w:right w:val="single" w:sz="8" w:color="auto"/>
            </w:tcBorders>
            <w:vMerge w:val="continue"/>
          </w:tcPr>
          <w:p>
            <w:pPr>
              <w:spacing w:after="0"/>
              <w:rPr>
                <w:sz w:val="11"/>
                <w:szCs w:val="11"/>
                <w:color w:val="auto"/>
              </w:rPr>
            </w:pPr>
          </w:p>
        </w:tc>
        <w:tc>
          <w:tcPr>
            <w:tcW w:w="128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37"/>
        </w:trPr>
        <w:tc>
          <w:tcPr>
            <w:tcW w:w="20" w:type="dxa"/>
            <w:vAlign w:val="bottom"/>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2960" w:type="dxa"/>
            <w:vAlign w:val="bottom"/>
            <w:tcBorders>
              <w:right w:val="single" w:sz="8" w:color="auto"/>
            </w:tcBorders>
            <w:vMerge w:val="continue"/>
          </w:tcPr>
          <w:p>
            <w:pPr>
              <w:spacing w:after="0"/>
              <w:rPr>
                <w:sz w:val="11"/>
                <w:szCs w:val="11"/>
                <w:color w:val="auto"/>
              </w:rPr>
            </w:pPr>
          </w:p>
        </w:tc>
        <w:tc>
          <w:tcPr>
            <w:tcW w:w="2960" w:type="dxa"/>
            <w:vAlign w:val="bottom"/>
            <w:tcBorders>
              <w:right w:val="single" w:sz="8" w:color="auto"/>
            </w:tcBorders>
            <w:vMerge w:val="restart"/>
          </w:tcPr>
          <w:p>
            <w:pPr>
              <w:ind w:left="100"/>
              <w:spacing w:after="0" w:line="239" w:lineRule="exact"/>
              <w:rPr>
                <w:sz w:val="20"/>
                <w:szCs w:val="20"/>
                <w:color w:val="auto"/>
              </w:rPr>
            </w:pPr>
            <w:r>
              <w:rPr>
                <w:rFonts w:ascii="宋体" w:cs="宋体" w:eastAsia="宋体" w:hAnsi="宋体"/>
                <w:sz w:val="21"/>
                <w:szCs w:val="21"/>
                <w:color w:val="auto"/>
              </w:rPr>
              <w:t>与恢复治理方案并已备案。施</w:t>
            </w:r>
          </w:p>
        </w:tc>
        <w:tc>
          <w:tcPr>
            <w:tcW w:w="128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37"/>
        </w:trPr>
        <w:tc>
          <w:tcPr>
            <w:tcW w:w="20" w:type="dxa"/>
            <w:vAlign w:val="bottom"/>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2960" w:type="dxa"/>
            <w:vAlign w:val="bottom"/>
            <w:tcBorders>
              <w:right w:val="single" w:sz="8" w:color="auto"/>
            </w:tcBorders>
            <w:vMerge w:val="restart"/>
          </w:tcPr>
          <w:p>
            <w:pPr>
              <w:ind w:left="80"/>
              <w:spacing w:after="0" w:line="239" w:lineRule="exact"/>
              <w:rPr>
                <w:sz w:val="20"/>
                <w:szCs w:val="20"/>
                <w:color w:val="auto"/>
              </w:rPr>
            </w:pPr>
            <w:r>
              <w:rPr>
                <w:rFonts w:ascii="宋体" w:cs="宋体" w:eastAsia="宋体" w:hAnsi="宋体"/>
                <w:sz w:val="21"/>
                <w:szCs w:val="21"/>
                <w:color w:val="auto"/>
              </w:rPr>
              <w:t>进方式；矿山削顶剥离的表土</w:t>
            </w:r>
          </w:p>
        </w:tc>
        <w:tc>
          <w:tcPr>
            <w:tcW w:w="2960" w:type="dxa"/>
            <w:vAlign w:val="bottom"/>
            <w:tcBorders>
              <w:right w:val="single" w:sz="8" w:color="auto"/>
            </w:tcBorders>
            <w:vMerge w:val="continue"/>
          </w:tcPr>
          <w:p>
            <w:pPr>
              <w:spacing w:after="0"/>
              <w:rPr>
                <w:sz w:val="11"/>
                <w:szCs w:val="11"/>
                <w:color w:val="auto"/>
              </w:rPr>
            </w:pPr>
          </w:p>
        </w:tc>
        <w:tc>
          <w:tcPr>
            <w:tcW w:w="128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37"/>
        </w:trPr>
        <w:tc>
          <w:tcPr>
            <w:tcW w:w="20" w:type="dxa"/>
            <w:vAlign w:val="bottom"/>
          </w:tcPr>
          <w:p>
            <w:pPr>
              <w:spacing w:after="0"/>
              <w:rPr>
                <w:sz w:val="11"/>
                <w:szCs w:val="11"/>
                <w:color w:val="auto"/>
              </w:rPr>
            </w:pPr>
          </w:p>
        </w:tc>
        <w:tc>
          <w:tcPr>
            <w:tcW w:w="1100" w:type="dxa"/>
            <w:vAlign w:val="bottom"/>
            <w:tcBorders>
              <w:right w:val="single" w:sz="8" w:color="auto"/>
            </w:tcBorders>
            <w:vMerge w:val="restart"/>
          </w:tcPr>
          <w:p>
            <w:pPr>
              <w:jc w:val="center"/>
              <w:spacing w:after="0" w:line="239" w:lineRule="exact"/>
              <w:rPr>
                <w:sz w:val="20"/>
                <w:szCs w:val="20"/>
                <w:color w:val="auto"/>
              </w:rPr>
            </w:pPr>
            <w:r>
              <w:rPr>
                <w:rFonts w:ascii="宋体" w:cs="宋体" w:eastAsia="宋体" w:hAnsi="宋体"/>
                <w:sz w:val="21"/>
                <w:szCs w:val="21"/>
                <w:color w:val="auto"/>
              </w:rPr>
              <w:t>施工期</w:t>
            </w:r>
          </w:p>
        </w:tc>
        <w:tc>
          <w:tcPr>
            <w:tcW w:w="2960" w:type="dxa"/>
            <w:vAlign w:val="bottom"/>
            <w:tcBorders>
              <w:right w:val="single" w:sz="8" w:color="auto"/>
            </w:tcBorders>
            <w:vMerge w:val="continue"/>
          </w:tcPr>
          <w:p>
            <w:pPr>
              <w:spacing w:after="0"/>
              <w:rPr>
                <w:sz w:val="11"/>
                <w:szCs w:val="11"/>
                <w:color w:val="auto"/>
              </w:rPr>
            </w:pPr>
          </w:p>
        </w:tc>
        <w:tc>
          <w:tcPr>
            <w:tcW w:w="2960" w:type="dxa"/>
            <w:vAlign w:val="bottom"/>
            <w:tcBorders>
              <w:right w:val="single" w:sz="8" w:color="auto"/>
            </w:tcBorders>
            <w:vMerge w:val="restart"/>
          </w:tcPr>
          <w:p>
            <w:pPr>
              <w:ind w:left="100"/>
              <w:spacing w:after="0" w:line="239" w:lineRule="exact"/>
              <w:rPr>
                <w:sz w:val="20"/>
                <w:szCs w:val="20"/>
                <w:color w:val="auto"/>
              </w:rPr>
            </w:pPr>
            <w:r>
              <w:rPr>
                <w:rFonts w:ascii="宋体" w:cs="宋体" w:eastAsia="宋体" w:hAnsi="宋体"/>
                <w:sz w:val="21"/>
                <w:szCs w:val="21"/>
                <w:color w:val="auto"/>
              </w:rPr>
              <w:t>工活动严格控制在了红线范围</w:t>
            </w:r>
          </w:p>
        </w:tc>
        <w:tc>
          <w:tcPr>
            <w:tcW w:w="1280" w:type="dxa"/>
            <w:vAlign w:val="bottom"/>
            <w:vMerge w:val="restart"/>
          </w:tcPr>
          <w:p>
            <w:pPr>
              <w:jc w:val="center"/>
              <w:spacing w:after="0" w:line="239" w:lineRule="exact"/>
              <w:rPr>
                <w:sz w:val="20"/>
                <w:szCs w:val="20"/>
                <w:color w:val="auto"/>
              </w:rPr>
            </w:pPr>
            <w:r>
              <w:rPr>
                <w:rFonts w:ascii="宋体" w:cs="宋体" w:eastAsia="宋体" w:hAnsi="宋体"/>
                <w:sz w:val="21"/>
                <w:szCs w:val="21"/>
                <w:color w:val="auto"/>
                <w:w w:val="99"/>
              </w:rPr>
              <w:t>落实</w:t>
            </w:r>
          </w:p>
        </w:tc>
        <w:tc>
          <w:tcPr>
            <w:tcW w:w="0" w:type="dxa"/>
            <w:vAlign w:val="bottom"/>
          </w:tcPr>
          <w:p>
            <w:pPr>
              <w:spacing w:after="0"/>
              <w:rPr>
                <w:sz w:val="1"/>
                <w:szCs w:val="1"/>
                <w:color w:val="auto"/>
              </w:rPr>
            </w:pPr>
          </w:p>
        </w:tc>
      </w:tr>
      <w:tr>
        <w:trPr>
          <w:trHeight w:val="135"/>
        </w:trPr>
        <w:tc>
          <w:tcPr>
            <w:tcW w:w="20" w:type="dxa"/>
            <w:vAlign w:val="bottom"/>
          </w:tcPr>
          <w:p>
            <w:pPr>
              <w:spacing w:after="0"/>
              <w:rPr>
                <w:sz w:val="11"/>
                <w:szCs w:val="11"/>
                <w:color w:val="auto"/>
              </w:rPr>
            </w:pPr>
          </w:p>
        </w:tc>
        <w:tc>
          <w:tcPr>
            <w:tcW w:w="1100" w:type="dxa"/>
            <w:vAlign w:val="bottom"/>
            <w:tcBorders>
              <w:right w:val="single" w:sz="8" w:color="auto"/>
            </w:tcBorders>
            <w:vMerge w:val="continue"/>
          </w:tcPr>
          <w:p>
            <w:pPr>
              <w:spacing w:after="0"/>
              <w:rPr>
                <w:sz w:val="11"/>
                <w:szCs w:val="11"/>
                <w:color w:val="auto"/>
              </w:rPr>
            </w:pPr>
          </w:p>
        </w:tc>
        <w:tc>
          <w:tcPr>
            <w:tcW w:w="2960" w:type="dxa"/>
            <w:vAlign w:val="bottom"/>
            <w:tcBorders>
              <w:right w:val="single" w:sz="8" w:color="auto"/>
            </w:tcBorders>
            <w:vMerge w:val="restart"/>
          </w:tcPr>
          <w:p>
            <w:pPr>
              <w:ind w:left="80"/>
              <w:spacing w:after="0" w:line="239" w:lineRule="exact"/>
              <w:rPr>
                <w:sz w:val="20"/>
                <w:szCs w:val="20"/>
                <w:color w:val="auto"/>
              </w:rPr>
            </w:pPr>
            <w:r>
              <w:rPr>
                <w:rFonts w:ascii="宋体" w:cs="宋体" w:eastAsia="宋体" w:hAnsi="宋体"/>
                <w:sz w:val="21"/>
                <w:szCs w:val="21"/>
                <w:color w:val="auto"/>
              </w:rPr>
              <w:t>单独存放，以备复垦使用；对</w:t>
            </w:r>
          </w:p>
        </w:tc>
        <w:tc>
          <w:tcPr>
            <w:tcW w:w="2960" w:type="dxa"/>
            <w:vAlign w:val="bottom"/>
            <w:tcBorders>
              <w:right w:val="single" w:sz="8" w:color="auto"/>
            </w:tcBorders>
            <w:vMerge w:val="continue"/>
          </w:tcPr>
          <w:p>
            <w:pPr>
              <w:spacing w:after="0"/>
              <w:rPr>
                <w:sz w:val="11"/>
                <w:szCs w:val="11"/>
                <w:color w:val="auto"/>
              </w:rPr>
            </w:pPr>
          </w:p>
        </w:tc>
        <w:tc>
          <w:tcPr>
            <w:tcW w:w="1280" w:type="dxa"/>
            <w:vAlign w:val="bottom"/>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37"/>
        </w:trPr>
        <w:tc>
          <w:tcPr>
            <w:tcW w:w="20" w:type="dxa"/>
            <w:vAlign w:val="bottom"/>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2960" w:type="dxa"/>
            <w:vAlign w:val="bottom"/>
            <w:tcBorders>
              <w:right w:val="single" w:sz="8" w:color="auto"/>
            </w:tcBorders>
            <w:vMerge w:val="continue"/>
          </w:tcPr>
          <w:p>
            <w:pPr>
              <w:spacing w:after="0"/>
              <w:rPr>
                <w:sz w:val="11"/>
                <w:szCs w:val="11"/>
                <w:color w:val="auto"/>
              </w:rPr>
            </w:pPr>
          </w:p>
        </w:tc>
        <w:tc>
          <w:tcPr>
            <w:tcW w:w="2960" w:type="dxa"/>
            <w:vAlign w:val="bottom"/>
            <w:tcBorders>
              <w:right w:val="single" w:sz="8" w:color="auto"/>
            </w:tcBorders>
            <w:vMerge w:val="restart"/>
          </w:tcPr>
          <w:p>
            <w:pPr>
              <w:ind w:left="100"/>
              <w:spacing w:after="0" w:line="239" w:lineRule="exact"/>
              <w:rPr>
                <w:sz w:val="20"/>
                <w:szCs w:val="20"/>
                <w:color w:val="auto"/>
              </w:rPr>
            </w:pPr>
            <w:r>
              <w:rPr>
                <w:rFonts w:ascii="宋体" w:cs="宋体" w:eastAsia="宋体" w:hAnsi="宋体"/>
                <w:sz w:val="21"/>
                <w:szCs w:val="21"/>
                <w:color w:val="auto"/>
              </w:rPr>
              <w:t>内；矿山削顶剥离的表土单独</w:t>
            </w:r>
          </w:p>
        </w:tc>
        <w:tc>
          <w:tcPr>
            <w:tcW w:w="128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37"/>
        </w:trPr>
        <w:tc>
          <w:tcPr>
            <w:tcW w:w="20" w:type="dxa"/>
            <w:vAlign w:val="bottom"/>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2960" w:type="dxa"/>
            <w:vAlign w:val="bottom"/>
            <w:tcBorders>
              <w:right w:val="single" w:sz="8" w:color="auto"/>
            </w:tcBorders>
            <w:vMerge w:val="restart"/>
          </w:tcPr>
          <w:p>
            <w:pPr>
              <w:ind w:left="80"/>
              <w:spacing w:after="0" w:line="239" w:lineRule="exact"/>
              <w:rPr>
                <w:sz w:val="20"/>
                <w:szCs w:val="20"/>
                <w:color w:val="auto"/>
              </w:rPr>
            </w:pPr>
            <w:r>
              <w:rPr>
                <w:rFonts w:ascii="宋体" w:cs="宋体" w:eastAsia="宋体" w:hAnsi="宋体"/>
                <w:sz w:val="21"/>
                <w:szCs w:val="21"/>
                <w:color w:val="auto"/>
              </w:rPr>
              <w:t>各项动土工程采取水土保持措</w:t>
            </w:r>
          </w:p>
        </w:tc>
        <w:tc>
          <w:tcPr>
            <w:tcW w:w="2960" w:type="dxa"/>
            <w:vAlign w:val="bottom"/>
            <w:tcBorders>
              <w:right w:val="single" w:sz="8" w:color="auto"/>
            </w:tcBorders>
            <w:vMerge w:val="continue"/>
          </w:tcPr>
          <w:p>
            <w:pPr>
              <w:spacing w:after="0"/>
              <w:rPr>
                <w:sz w:val="11"/>
                <w:szCs w:val="11"/>
                <w:color w:val="auto"/>
              </w:rPr>
            </w:pPr>
          </w:p>
        </w:tc>
        <w:tc>
          <w:tcPr>
            <w:tcW w:w="128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37"/>
        </w:trPr>
        <w:tc>
          <w:tcPr>
            <w:tcW w:w="20" w:type="dxa"/>
            <w:vAlign w:val="bottom"/>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2960" w:type="dxa"/>
            <w:vAlign w:val="bottom"/>
            <w:tcBorders>
              <w:right w:val="single" w:sz="8" w:color="auto"/>
            </w:tcBorders>
            <w:vMerge w:val="continue"/>
          </w:tcPr>
          <w:p>
            <w:pPr>
              <w:spacing w:after="0"/>
              <w:rPr>
                <w:sz w:val="11"/>
                <w:szCs w:val="11"/>
                <w:color w:val="auto"/>
              </w:rPr>
            </w:pPr>
          </w:p>
        </w:tc>
        <w:tc>
          <w:tcPr>
            <w:tcW w:w="2960" w:type="dxa"/>
            <w:vAlign w:val="bottom"/>
            <w:tcBorders>
              <w:right w:val="single" w:sz="8" w:color="auto"/>
            </w:tcBorders>
            <w:vMerge w:val="restart"/>
          </w:tcPr>
          <w:p>
            <w:pPr>
              <w:ind w:left="100"/>
              <w:spacing w:after="0" w:line="239" w:lineRule="exact"/>
              <w:rPr>
                <w:sz w:val="20"/>
                <w:szCs w:val="20"/>
                <w:color w:val="auto"/>
              </w:rPr>
            </w:pPr>
            <w:r>
              <w:rPr>
                <w:rFonts w:ascii="宋体" w:cs="宋体" w:eastAsia="宋体" w:hAnsi="宋体"/>
                <w:sz w:val="21"/>
                <w:szCs w:val="21"/>
                <w:color w:val="auto"/>
              </w:rPr>
              <w:t>存放；制定了水土保持措施。</w:t>
            </w:r>
          </w:p>
        </w:tc>
        <w:tc>
          <w:tcPr>
            <w:tcW w:w="128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34"/>
        </w:trPr>
        <w:tc>
          <w:tcPr>
            <w:tcW w:w="20" w:type="dxa"/>
            <w:vAlign w:val="bottom"/>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2960" w:type="dxa"/>
            <w:vAlign w:val="bottom"/>
            <w:tcBorders>
              <w:right w:val="single" w:sz="8" w:color="auto"/>
            </w:tcBorders>
            <w:vMerge w:val="restart"/>
          </w:tcPr>
          <w:p>
            <w:pPr>
              <w:ind w:left="80"/>
              <w:spacing w:after="0" w:line="239" w:lineRule="exact"/>
              <w:rPr>
                <w:sz w:val="20"/>
                <w:szCs w:val="20"/>
                <w:color w:val="auto"/>
              </w:rPr>
            </w:pPr>
            <w:r>
              <w:rPr>
                <w:rFonts w:ascii="宋体" w:cs="宋体" w:eastAsia="宋体" w:hAnsi="宋体"/>
                <w:sz w:val="21"/>
                <w:szCs w:val="21"/>
                <w:color w:val="auto"/>
              </w:rPr>
              <w:t>施。</w:t>
            </w:r>
          </w:p>
        </w:tc>
        <w:tc>
          <w:tcPr>
            <w:tcW w:w="2960" w:type="dxa"/>
            <w:vAlign w:val="bottom"/>
            <w:tcBorders>
              <w:right w:val="single" w:sz="8" w:color="auto"/>
            </w:tcBorders>
            <w:vMerge w:val="continue"/>
          </w:tcPr>
          <w:p>
            <w:pPr>
              <w:spacing w:after="0"/>
              <w:rPr>
                <w:sz w:val="11"/>
                <w:szCs w:val="11"/>
                <w:color w:val="auto"/>
              </w:rPr>
            </w:pPr>
          </w:p>
        </w:tc>
        <w:tc>
          <w:tcPr>
            <w:tcW w:w="128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137"/>
        </w:trPr>
        <w:tc>
          <w:tcPr>
            <w:tcW w:w="20" w:type="dxa"/>
            <w:vAlign w:val="bottom"/>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2960" w:type="dxa"/>
            <w:vAlign w:val="bottom"/>
            <w:tcBorders>
              <w:right w:val="single" w:sz="8" w:color="auto"/>
            </w:tcBorders>
            <w:vMerge w:val="continue"/>
          </w:tcPr>
          <w:p>
            <w:pPr>
              <w:spacing w:after="0"/>
              <w:rPr>
                <w:sz w:val="11"/>
                <w:szCs w:val="11"/>
                <w:color w:val="auto"/>
              </w:rPr>
            </w:pPr>
          </w:p>
        </w:tc>
        <w:tc>
          <w:tcPr>
            <w:tcW w:w="2960" w:type="dxa"/>
            <w:vAlign w:val="bottom"/>
            <w:tcBorders>
              <w:right w:val="single" w:sz="8" w:color="auto"/>
            </w:tcBorders>
          </w:tcPr>
          <w:p>
            <w:pPr>
              <w:spacing w:after="0"/>
              <w:rPr>
                <w:sz w:val="11"/>
                <w:szCs w:val="11"/>
                <w:color w:val="auto"/>
              </w:rPr>
            </w:pPr>
          </w:p>
        </w:tc>
        <w:tc>
          <w:tcPr>
            <w:tcW w:w="1280" w:type="dxa"/>
            <w:vAlign w:val="bottom"/>
          </w:tcPr>
          <w:p>
            <w:pPr>
              <w:spacing w:after="0"/>
              <w:rPr>
                <w:sz w:val="11"/>
                <w:szCs w:val="11"/>
                <w:color w:val="auto"/>
              </w:rPr>
            </w:pPr>
          </w:p>
        </w:tc>
        <w:tc>
          <w:tcPr>
            <w:tcW w:w="0" w:type="dxa"/>
            <w:vAlign w:val="bottom"/>
          </w:tcPr>
          <w:p>
            <w:pPr>
              <w:spacing w:after="0"/>
              <w:rPr>
                <w:sz w:val="1"/>
                <w:szCs w:val="1"/>
                <w:color w:val="auto"/>
              </w:rPr>
            </w:pPr>
          </w:p>
        </w:tc>
      </w:tr>
      <w:tr>
        <w:trPr>
          <w:trHeight w:val="43"/>
        </w:trPr>
        <w:tc>
          <w:tcPr>
            <w:tcW w:w="20" w:type="dxa"/>
            <w:vAlign w:val="bottom"/>
            <w:tcBorders>
              <w:bottom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2960" w:type="dxa"/>
            <w:vAlign w:val="bottom"/>
            <w:tcBorders>
              <w:bottom w:val="single" w:sz="8" w:color="auto"/>
              <w:right w:val="single" w:sz="8" w:color="auto"/>
            </w:tcBorders>
          </w:tcPr>
          <w:p>
            <w:pPr>
              <w:spacing w:after="0"/>
              <w:rPr>
                <w:sz w:val="3"/>
                <w:szCs w:val="3"/>
                <w:color w:val="auto"/>
              </w:rPr>
            </w:pPr>
          </w:p>
        </w:tc>
        <w:tc>
          <w:tcPr>
            <w:tcW w:w="2960" w:type="dxa"/>
            <w:vAlign w:val="bottom"/>
            <w:tcBorders>
              <w:bottom w:val="single" w:sz="8" w:color="auto"/>
              <w:right w:val="single" w:sz="8" w:color="auto"/>
            </w:tcBorders>
          </w:tcPr>
          <w:p>
            <w:pPr>
              <w:spacing w:after="0"/>
              <w:rPr>
                <w:sz w:val="3"/>
                <w:szCs w:val="3"/>
                <w:color w:val="auto"/>
              </w:rPr>
            </w:pPr>
          </w:p>
        </w:tc>
        <w:tc>
          <w:tcPr>
            <w:tcW w:w="1280" w:type="dxa"/>
            <w:vAlign w:val="bottom"/>
            <w:tcBorders>
              <w:bottom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143" w:lineRule="exact"/>
        <w:rPr>
          <w:sz w:val="20"/>
          <w:szCs w:val="20"/>
          <w:color w:val="auto"/>
        </w:rPr>
      </w:pPr>
    </w:p>
    <w:p>
      <w:pPr>
        <w:ind w:left="20"/>
        <w:spacing w:after="0"/>
        <w:rPr>
          <w:sz w:val="20"/>
          <w:szCs w:val="20"/>
          <w:color w:val="auto"/>
        </w:rPr>
      </w:pPr>
      <w:r>
        <w:rPr>
          <w:rFonts w:ascii="Times New Roman" w:cs="Times New Roman" w:eastAsia="Times New Roman" w:hAnsi="Times New Roman"/>
          <w:sz w:val="28"/>
          <w:szCs w:val="28"/>
          <w:b w:val="1"/>
          <w:bCs w:val="1"/>
          <w:color w:val="auto"/>
        </w:rPr>
        <w:t xml:space="preserve">3.2.2 </w:t>
      </w:r>
      <w:r>
        <w:rPr>
          <w:rFonts w:ascii="宋体" w:cs="宋体" w:eastAsia="宋体" w:hAnsi="宋体"/>
          <w:sz w:val="28"/>
          <w:szCs w:val="28"/>
          <w:color w:val="auto"/>
        </w:rPr>
        <w:t>保障环境保护设施有效运行的措施</w:t>
      </w:r>
    </w:p>
    <w:p>
      <w:pPr>
        <w:spacing w:after="0" w:line="374" w:lineRule="exact"/>
        <w:rPr>
          <w:sz w:val="20"/>
          <w:szCs w:val="20"/>
          <w:color w:val="auto"/>
        </w:rPr>
      </w:pPr>
    </w:p>
    <w:p>
      <w:pPr>
        <w:ind w:left="500"/>
        <w:spacing w:after="0"/>
        <w:rPr>
          <w:sz w:val="20"/>
          <w:szCs w:val="20"/>
          <w:color w:val="auto"/>
        </w:rPr>
      </w:pPr>
      <w:r>
        <w:rPr>
          <w:rFonts w:ascii="宋体" w:cs="宋体" w:eastAsia="宋体" w:hAnsi="宋体"/>
          <w:sz w:val="24"/>
          <w:szCs w:val="24"/>
          <w:color w:val="auto"/>
        </w:rPr>
        <w:t>为了确保各项环境保护措施得到有效落实，企业委托辽宁昌鑫环境工程咨询</w:t>
      </w:r>
    </w:p>
    <w:p>
      <w:pPr>
        <w:spacing w:after="0" w:line="194" w:lineRule="exact"/>
        <w:rPr>
          <w:sz w:val="20"/>
          <w:szCs w:val="20"/>
          <w:color w:val="auto"/>
        </w:rPr>
      </w:pPr>
    </w:p>
    <w:p>
      <w:pPr>
        <w:ind w:left="20"/>
        <w:spacing w:after="0"/>
        <w:rPr>
          <w:sz w:val="20"/>
          <w:szCs w:val="20"/>
          <w:color w:val="auto"/>
        </w:rPr>
      </w:pPr>
      <w:r>
        <w:rPr>
          <w:rFonts w:ascii="宋体" w:cs="宋体" w:eastAsia="宋体" w:hAnsi="宋体"/>
          <w:sz w:val="24"/>
          <w:szCs w:val="24"/>
          <w:color w:val="auto"/>
        </w:rPr>
        <w:t>有限公司公司进行了全程环境监理，落实了环境监理制度。环境监理单位对施工</w:t>
      </w:r>
    </w:p>
    <w:p>
      <w:pPr>
        <w:spacing w:after="0" w:line="203" w:lineRule="exact"/>
        <w:rPr>
          <w:sz w:val="20"/>
          <w:szCs w:val="20"/>
          <w:color w:val="auto"/>
        </w:rPr>
      </w:pPr>
    </w:p>
    <w:p>
      <w:pPr>
        <w:ind w:left="20"/>
        <w:spacing w:after="0"/>
        <w:rPr>
          <w:sz w:val="20"/>
          <w:szCs w:val="20"/>
          <w:color w:val="auto"/>
        </w:rPr>
      </w:pPr>
      <w:r>
        <w:rPr>
          <w:rFonts w:ascii="宋体" w:cs="宋体" w:eastAsia="宋体" w:hAnsi="宋体"/>
          <w:sz w:val="23"/>
          <w:szCs w:val="23"/>
          <w:color w:val="auto"/>
        </w:rPr>
        <w:t>期环保措施落实情况及为技改工程配套的环保设施工程进行全方位、全过程监督。</w:t>
      </w:r>
    </w:p>
    <w:p>
      <w:pPr>
        <w:spacing w:after="0" w:line="336" w:lineRule="exact"/>
        <w:rPr>
          <w:sz w:val="20"/>
          <w:szCs w:val="20"/>
          <w:color w:val="auto"/>
        </w:rPr>
      </w:pPr>
    </w:p>
    <w:p>
      <w:pPr>
        <w:ind w:left="20"/>
        <w:spacing w:after="0"/>
        <w:rPr>
          <w:sz w:val="20"/>
          <w:szCs w:val="20"/>
          <w:color w:val="auto"/>
        </w:rPr>
      </w:pPr>
      <w:r>
        <w:rPr>
          <w:rFonts w:ascii="Times New Roman" w:cs="Times New Roman" w:eastAsia="Times New Roman" w:hAnsi="Times New Roman"/>
          <w:sz w:val="28"/>
          <w:szCs w:val="28"/>
          <w:b w:val="1"/>
          <w:bCs w:val="1"/>
          <w:color w:val="auto"/>
        </w:rPr>
        <w:t xml:space="preserve">3.2.3 </w:t>
      </w:r>
      <w:r>
        <w:rPr>
          <w:rFonts w:ascii="宋体" w:cs="宋体" w:eastAsia="宋体" w:hAnsi="宋体"/>
          <w:sz w:val="28"/>
          <w:szCs w:val="28"/>
          <w:color w:val="auto"/>
        </w:rPr>
        <w:t>生态系统功能恢复措施</w:t>
      </w:r>
    </w:p>
    <w:p>
      <w:pPr>
        <w:spacing w:after="0" w:line="374" w:lineRule="exact"/>
        <w:rPr>
          <w:sz w:val="20"/>
          <w:szCs w:val="20"/>
          <w:color w:val="auto"/>
        </w:rPr>
      </w:pPr>
    </w:p>
    <w:p>
      <w:pPr>
        <w:ind w:left="500"/>
        <w:spacing w:after="0"/>
        <w:rPr>
          <w:sz w:val="20"/>
          <w:szCs w:val="20"/>
          <w:color w:val="auto"/>
        </w:rPr>
      </w:pPr>
      <w:r>
        <w:rPr>
          <w:rFonts w:ascii="宋体" w:cs="宋体" w:eastAsia="宋体" w:hAnsi="宋体"/>
          <w:sz w:val="24"/>
          <w:szCs w:val="24"/>
          <w:color w:val="auto"/>
        </w:rPr>
        <w:t>企业编制了矿山地质环境保护与恢复治理方案并已备案。腰接子露天采场地</w:t>
      </w:r>
    </w:p>
    <w:p>
      <w:pPr>
        <w:spacing w:after="0" w:line="184" w:lineRule="exact"/>
        <w:rPr>
          <w:sz w:val="20"/>
          <w:szCs w:val="20"/>
          <w:color w:val="auto"/>
        </w:rPr>
      </w:pPr>
    </w:p>
    <w:p>
      <w:pPr>
        <w:ind w:left="20"/>
        <w:spacing w:after="0"/>
        <w:rPr>
          <w:sz w:val="20"/>
          <w:szCs w:val="20"/>
          <w:color w:val="auto"/>
        </w:rPr>
      </w:pPr>
      <w:r>
        <w:rPr>
          <w:rFonts w:ascii="宋体" w:cs="宋体" w:eastAsia="宋体" w:hAnsi="宋体"/>
          <w:sz w:val="24"/>
          <w:szCs w:val="24"/>
          <w:color w:val="auto"/>
        </w:rPr>
        <w:t>表封闭圈外种植了树木；</w:t>
      </w:r>
      <w:r>
        <w:rPr>
          <w:rFonts w:ascii="Times New Roman" w:cs="Times New Roman" w:eastAsia="Times New Roman" w:hAnsi="Times New Roman"/>
          <w:sz w:val="24"/>
          <w:szCs w:val="24"/>
          <w:color w:val="auto"/>
        </w:rPr>
        <w:t>1#</w:t>
      </w:r>
      <w:r>
        <w:rPr>
          <w:rFonts w:ascii="宋体" w:cs="宋体" w:eastAsia="宋体" w:hAnsi="宋体"/>
          <w:sz w:val="24"/>
          <w:szCs w:val="24"/>
          <w:color w:val="auto"/>
        </w:rPr>
        <w:t>废石场已封场，并完成覆土恢复植被；</w:t>
      </w:r>
      <w:r>
        <w:rPr>
          <w:rFonts w:ascii="Times New Roman" w:cs="Times New Roman" w:eastAsia="Times New Roman" w:hAnsi="Times New Roman"/>
          <w:sz w:val="24"/>
          <w:szCs w:val="24"/>
          <w:color w:val="auto"/>
        </w:rPr>
        <w:t>2#</w:t>
      </w:r>
      <w:r>
        <w:rPr>
          <w:rFonts w:ascii="宋体" w:cs="宋体" w:eastAsia="宋体" w:hAnsi="宋体"/>
          <w:sz w:val="24"/>
          <w:szCs w:val="24"/>
          <w:color w:val="auto"/>
        </w:rPr>
        <w:t>废石场现正</w:t>
      </w:r>
    </w:p>
    <w:p>
      <w:pPr>
        <w:spacing w:after="0" w:line="176" w:lineRule="exact"/>
        <w:rPr>
          <w:sz w:val="20"/>
          <w:szCs w:val="20"/>
          <w:color w:val="auto"/>
        </w:rPr>
      </w:pPr>
    </w:p>
    <w:p>
      <w:pPr>
        <w:ind w:left="20"/>
        <w:spacing w:after="0"/>
        <w:rPr>
          <w:sz w:val="20"/>
          <w:szCs w:val="20"/>
          <w:color w:val="auto"/>
        </w:rPr>
      </w:pPr>
      <w:r>
        <w:rPr>
          <w:rFonts w:ascii="宋体" w:cs="宋体" w:eastAsia="宋体" w:hAnsi="宋体"/>
          <w:sz w:val="24"/>
          <w:szCs w:val="24"/>
          <w:color w:val="auto"/>
        </w:rPr>
        <w:t>在服役期内；腰接子采区露天采场尚未完成采矿任务，</w:t>
      </w:r>
      <w:r>
        <w:rPr>
          <w:rFonts w:ascii="Times New Roman" w:cs="Times New Roman" w:eastAsia="Times New Roman" w:hAnsi="Times New Roman"/>
          <w:sz w:val="24"/>
          <w:szCs w:val="24"/>
          <w:color w:val="auto"/>
        </w:rPr>
        <w:t>3#</w:t>
      </w:r>
      <w:r>
        <w:rPr>
          <w:rFonts w:ascii="宋体" w:cs="宋体" w:eastAsia="宋体" w:hAnsi="宋体"/>
          <w:sz w:val="24"/>
          <w:szCs w:val="24"/>
          <w:color w:val="auto"/>
        </w:rPr>
        <w:t>废石场尚未启用；</w:t>
      </w:r>
      <w:r>
        <w:rPr>
          <w:rFonts w:ascii="Times New Roman" w:cs="Times New Roman" w:eastAsia="Times New Roman" w:hAnsi="Times New Roman"/>
          <w:sz w:val="24"/>
          <w:szCs w:val="24"/>
          <w:color w:val="auto"/>
        </w:rPr>
        <w:t>1#</w:t>
      </w:r>
      <w:r>
        <w:rPr>
          <w:rFonts w:ascii="宋体" w:cs="宋体" w:eastAsia="宋体" w:hAnsi="宋体"/>
          <w:sz w:val="24"/>
          <w:szCs w:val="24"/>
          <w:color w:val="auto"/>
        </w:rPr>
        <w:t>废</w:t>
      </w:r>
    </w:p>
    <w:p>
      <w:pPr>
        <w:spacing w:after="0" w:line="174" w:lineRule="exact"/>
        <w:rPr>
          <w:sz w:val="20"/>
          <w:szCs w:val="20"/>
          <w:color w:val="auto"/>
        </w:rPr>
      </w:pPr>
    </w:p>
    <w:p>
      <w:pPr>
        <w:ind w:left="20"/>
        <w:spacing w:after="0"/>
        <w:rPr>
          <w:sz w:val="20"/>
          <w:szCs w:val="20"/>
          <w:color w:val="auto"/>
        </w:rPr>
      </w:pPr>
      <w:r>
        <w:rPr>
          <w:rFonts w:ascii="宋体" w:cs="宋体" w:eastAsia="宋体" w:hAnsi="宋体"/>
          <w:sz w:val="24"/>
          <w:szCs w:val="24"/>
          <w:color w:val="auto"/>
        </w:rPr>
        <w:t xml:space="preserve">石场已封场，现表土堆存区位于 </w:t>
      </w:r>
      <w:r>
        <w:rPr>
          <w:rFonts w:ascii="Times New Roman" w:cs="Times New Roman" w:eastAsia="Times New Roman" w:hAnsi="Times New Roman"/>
          <w:sz w:val="24"/>
          <w:szCs w:val="24"/>
          <w:color w:val="auto"/>
        </w:rPr>
        <w:t>3#</w:t>
      </w:r>
      <w:r>
        <w:rPr>
          <w:rFonts w:ascii="宋体" w:cs="宋体" w:eastAsia="宋体" w:hAnsi="宋体"/>
          <w:sz w:val="24"/>
          <w:szCs w:val="24"/>
          <w:color w:val="auto"/>
        </w:rPr>
        <w:t>废石场旁，修建了截排水沟、边坡等。</w:t>
      </w:r>
    </w:p>
    <w:p>
      <w:pPr>
        <w:spacing w:after="0" w:line="200" w:lineRule="exact"/>
        <w:rPr>
          <w:sz w:val="20"/>
          <w:szCs w:val="20"/>
          <w:color w:val="auto"/>
        </w:rPr>
      </w:pPr>
    </w:p>
    <w:p>
      <w:pPr>
        <w:spacing w:after="0" w:line="200" w:lineRule="exact"/>
        <w:rPr>
          <w:sz w:val="20"/>
          <w:szCs w:val="20"/>
          <w:color w:val="auto"/>
        </w:rPr>
      </w:pPr>
    </w:p>
    <w:p>
      <w:pPr>
        <w:spacing w:after="0" w:line="201" w:lineRule="exact"/>
        <w:rPr>
          <w:sz w:val="20"/>
          <w:szCs w:val="20"/>
          <w:color w:val="auto"/>
        </w:rPr>
      </w:pPr>
    </w:p>
    <w:p>
      <w:pPr>
        <w:ind w:left="4300"/>
        <w:spacing w:after="0"/>
        <w:rPr>
          <w:sz w:val="20"/>
          <w:szCs w:val="20"/>
          <w:color w:val="auto"/>
        </w:rPr>
      </w:pPr>
      <w:r>
        <w:rPr>
          <w:rFonts w:ascii="Times New Roman" w:cs="Times New Roman" w:eastAsia="Times New Roman" w:hAnsi="Times New Roman"/>
          <w:sz w:val="18"/>
          <w:szCs w:val="18"/>
          <w:color w:val="auto"/>
        </w:rPr>
        <w:t>3</w:t>
      </w:r>
    </w:p>
    <w:sectPr>
      <w:pgSz w:w="11900" w:h="16838" w:orient="portrait"/>
      <w:cols w:equalWidth="0" w:num="1">
        <w:col w:w="8560"/>
      </w:cols>
      <w:pgMar w:left="1780" w:top="1432" w:right="1560" w:bottom="942"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
    <w:panose1 w:val="02010600030101010101"/>
    <w:charset w:val="00"/>
    <w:family w:val="auto"/>
    <w:pitch w:val="variable"/>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2019-01-23T09:03:48Z</dcterms:created>
  <dcterms:modified xsi:type="dcterms:W3CDTF">2019-01-23T09:03:48Z</dcterms:modified>
</cp:coreProperties>
</file>